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37FD6" w14:textId="588D64E9" w:rsidR="005A5A1D" w:rsidRPr="005A5A1D" w:rsidRDefault="0061216A" w:rsidP="005A5A1D">
      <w:pPr>
        <w:spacing w:after="0" w:line="276" w:lineRule="auto"/>
        <w:jc w:val="right"/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</w:pPr>
      <w:bookmarkStart w:id="0" w:name="_GoBack"/>
      <w:bookmarkEnd w:id="0"/>
      <w:r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>Załącznik nr 8</w:t>
      </w:r>
      <w:r w:rsidR="005A5A1D" w:rsidRPr="005A5A1D"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 xml:space="preserve"> do umowy </w:t>
      </w:r>
    </w:p>
    <w:p w14:paraId="13FBFDF3" w14:textId="77777777" w:rsidR="005A5A1D" w:rsidRPr="005A5A1D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454A1883" w14:textId="77777777" w:rsidR="005A5A1D" w:rsidRPr="005A5A1D" w:rsidRDefault="005A5A1D" w:rsidP="005A5A1D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14:paraId="469B2D23" w14:textId="77777777" w:rsidR="005A5A1D" w:rsidRPr="005A5A1D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>Warunki prowadzenia prac przez firmy zewnętrzne</w:t>
      </w:r>
    </w:p>
    <w:p w14:paraId="4A1F5F7F" w14:textId="77777777" w:rsidR="005A5A1D" w:rsidRPr="005A5A1D" w:rsidRDefault="005A5A1D" w:rsidP="005A5A1D">
      <w:pPr>
        <w:spacing w:after="0" w:line="276" w:lineRule="auto"/>
        <w:jc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 obiektach Sieci Badawczej ŁUKASIEWICZ - PORT Polskiego Ośrodka Rozwoju Technologii zwanego dalej PORT</w:t>
      </w:r>
    </w:p>
    <w:p w14:paraId="309F656D" w14:textId="77777777" w:rsidR="005A5A1D" w:rsidRPr="005A5A1D" w:rsidRDefault="005A5A1D" w:rsidP="005A5A1D">
      <w:pPr>
        <w:spacing w:after="120" w:line="276" w:lineRule="auto"/>
        <w:jc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obowiązujące od dnia 15.05.2018r.</w:t>
      </w:r>
    </w:p>
    <w:p w14:paraId="6E02DBB7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Wszelkie prace prowadzone przez firmy zewnętrzne na terenie PORT zgłaszane są na piśmie do PORT do godziny 15:00 dnia poprzedzającego rozpoczęcie prac. Zgłoszenie musi być zatwierdzone pisemnie przez pracownika PORT. Dopuszcza się zatwierdzenie poprzez email na adres podany przez firmę zewnętrzną.</w:t>
      </w:r>
    </w:p>
    <w:p w14:paraId="6B4FB436" w14:textId="2044B946" w:rsidR="00EE3AB6" w:rsidRPr="00D01491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auto"/>
          <w:spacing w:val="0"/>
          <w:szCs w:val="20"/>
          <w:lang w:eastAsia="pl-PL"/>
        </w:rPr>
      </w:pPr>
      <w:r w:rsidRPr="00D01491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Dopuszcza się zgłoszenie prac mailem na adres: </w:t>
      </w:r>
      <w:hyperlink r:id="rId9" w:history="1">
        <w:r w:rsidR="00EE3AB6" w:rsidRPr="00D01491">
          <w:rPr>
            <w:rStyle w:val="Hipercze"/>
            <w:rFonts w:ascii="Verdana" w:eastAsia="Calibri" w:hAnsi="Verdana" w:cs="Roboto Lt"/>
            <w:color w:val="auto"/>
            <w:spacing w:val="0"/>
            <w:szCs w:val="20"/>
            <w:lang w:eastAsia="pl-PL"/>
          </w:rPr>
          <w:t>infrastruktura@port.lukasiewicz.gov.pl</w:t>
        </w:r>
      </w:hyperlink>
      <w:r w:rsidRPr="00D01491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. </w:t>
      </w:r>
    </w:p>
    <w:p w14:paraId="7EB3E281" w14:textId="6BC16B09" w:rsidR="005A5A1D" w:rsidRPr="005A5A1D" w:rsidRDefault="005A5A1D" w:rsidP="00EE3AB6">
      <w:pPr>
        <w:spacing w:after="0" w:line="276" w:lineRule="auto"/>
        <w:ind w:left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D01491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>Zgłoszenie ma</w:t>
      </w:r>
      <w:r w:rsidR="00EE3AB6" w:rsidRPr="00D01491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ilem nie zwalnia zgłaszającego </w:t>
      </w: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z konieczności uzyskania zatwierdzenia zgłoszenia prac. </w:t>
      </w:r>
    </w:p>
    <w:p w14:paraId="560565C6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Wszelkie prace odbywają się w godzinach 8:00-16:00. </w:t>
      </w:r>
    </w:p>
    <w:p w14:paraId="7239ECDE" w14:textId="0784733F" w:rsidR="00E072F6" w:rsidRDefault="005A5A1D" w:rsidP="00E072F6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auto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Wyjątek stanowią prace prowadzące do usunięcia awarii zagrażającej życiu, zdrowiu lub bezpieczeństwu pracowników PORT lub zwiedzających albo powodującej konieczność zamknięcia (wyłączenia lub częściowego wyłączenia) budynków PORT. Termin usunięcia w/w awarii strony ustalają pisemnie. Dopuszcza się ustalenie terminu mailem na adres: </w:t>
      </w:r>
    </w:p>
    <w:p w14:paraId="281E40F6" w14:textId="5726C3BC" w:rsidR="005A5A1D" w:rsidRPr="00E072F6" w:rsidRDefault="00A937E4" w:rsidP="00A937E4">
      <w:pPr>
        <w:spacing w:after="0" w:line="276" w:lineRule="auto"/>
        <w:rPr>
          <w:rFonts w:ascii="Verdana" w:eastAsia="Calibri" w:hAnsi="Verdana" w:cs="Roboto Lt"/>
          <w:color w:val="auto"/>
          <w:spacing w:val="0"/>
          <w:szCs w:val="20"/>
          <w:lang w:eastAsia="pl-PL"/>
        </w:rPr>
      </w:pPr>
      <w:r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 xml:space="preserve">      </w:t>
      </w:r>
      <w:hyperlink r:id="rId10" w:history="1">
        <w:r w:rsidR="00E072F6" w:rsidRPr="00E072F6">
          <w:rPr>
            <w:rStyle w:val="Hipercze"/>
            <w:rFonts w:ascii="Verdana" w:eastAsia="Calibri" w:hAnsi="Verdana" w:cs="Roboto Lt"/>
            <w:color w:val="auto"/>
            <w:spacing w:val="0"/>
            <w:szCs w:val="20"/>
            <w:lang w:eastAsia="pl-PL"/>
          </w:rPr>
          <w:t>infrastruktura@port.lukasiewicz.gov.pl</w:t>
        </w:r>
      </w:hyperlink>
      <w:r w:rsidR="00E072F6" w:rsidRPr="00E072F6">
        <w:rPr>
          <w:rFonts w:ascii="Verdana" w:eastAsia="Calibri" w:hAnsi="Verdana" w:cs="Roboto Lt"/>
          <w:color w:val="auto"/>
          <w:spacing w:val="0"/>
          <w:szCs w:val="20"/>
          <w:lang w:eastAsia="pl-PL"/>
        </w:rPr>
        <w:t>.</w:t>
      </w:r>
    </w:p>
    <w:p w14:paraId="7E1882D2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Każdy pracownik firmy zewnętrznej ma obowiązek okazać pracownikowi PORT oraz ochronie obiektów PORT dowód tożsamości w celu weryfikacji, czy znajduje się na liście osób zgłoszonych do pracy – jakakolwiek niezgodność danych z dowodu tożsamości z danymi z listy osób zgłoszonych powoduje brak zgody na wykonywanie prac. </w:t>
      </w:r>
    </w:p>
    <w:p w14:paraId="0D5FAB87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Dopuszczane dowody tożsamości to aktualny dowód, paszport, prawo jazdy.</w:t>
      </w:r>
    </w:p>
    <w:p w14:paraId="2A4409A0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Pracownik, który odmówi okazania dowodu tożsamości, lub który nie posiada dowodu tożsamości nie zostanie dopuszczony do wykonywania prac.   </w:t>
      </w:r>
    </w:p>
    <w:p w14:paraId="0F31FFB7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Osoby niezgłoszone prawidłowo nie zostaną dopuszczone do wykonywania jakichkolwiek prac.</w:t>
      </w:r>
    </w:p>
    <w:p w14:paraId="0C2BD8FD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 czasie wykonywania prac obowiązuje całkowity zakaz palenia.</w:t>
      </w:r>
    </w:p>
    <w:p w14:paraId="09301CA8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 czasie wykonania prac pracownicy firmy zewnętrznej zobowiązani są do przestrzegania przepisów BHP i ppoż.</w:t>
      </w:r>
    </w:p>
    <w:p w14:paraId="15C81C18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W czasie wykonywania prac pracownicy firmy zewnętrznej zobowiązani są do zabezpieczenia terenu prac, zgodnie z wymaganiami przepisów BHP.  </w:t>
      </w:r>
    </w:p>
    <w:p w14:paraId="38EA8E00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 W czasie wykonania prac pracownicy firmy zewnętrznej zobowiązani są do dostosowania się do wszelkich zarządzeń, regulaminów, procedur i zasad obowiązujących w PORT w zakresie ich dotyczącym. </w:t>
      </w:r>
    </w:p>
    <w:p w14:paraId="19566234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jest zobowiązana do dostarczenia wszelkich narzędzi, materiałów i części niezbędnych do wykonywania prac. Wszelkie prace wykonywane są na koszt, ryzyko i staraniem firmy zewnętrznej. </w:t>
      </w:r>
    </w:p>
    <w:p w14:paraId="22023451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lastRenderedPageBreak/>
        <w:t xml:space="preserve">Transport wszelkich narzędzi, materiałów i części niezbędnych do wykonywania prac odbywa się na koszt, ryzyko i staraniem firmy zewnętrznej. </w:t>
      </w:r>
    </w:p>
    <w:p w14:paraId="499DCF95" w14:textId="77777777" w:rsidR="005A5A1D" w:rsidRPr="005A5A1D" w:rsidRDefault="005A5A1D" w:rsidP="005A5A1D">
      <w:pPr>
        <w:numPr>
          <w:ilvl w:val="0"/>
          <w:numId w:val="14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oświadcza, że posiada kwalifikacje do wykonania prac. </w:t>
      </w:r>
    </w:p>
    <w:p w14:paraId="46315DE5" w14:textId="77777777" w:rsidR="005A5A1D" w:rsidRPr="005A5A1D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14:paraId="6EEC0111" w14:textId="77777777" w:rsidR="005A5A1D" w:rsidRPr="005A5A1D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zobowiązana jest do zachowania w poufności wszelkich informacji technicznych, finansowych handlowych, prawnych </w:t>
      </w: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br/>
        <w:t xml:space="preserve">i organizacyjnych uzyskanych w związku z realizacją zamówienia, niezależnie od formy uzyskania tych informacji oraz ich źródła. </w:t>
      </w:r>
    </w:p>
    <w:p w14:paraId="6EF1D213" w14:textId="77777777" w:rsidR="005A5A1D" w:rsidRPr="005A5A1D" w:rsidRDefault="005A5A1D" w:rsidP="005A5A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Ochrona danych osobowych:</w:t>
      </w:r>
    </w:p>
    <w:p w14:paraId="4E150821" w14:textId="77777777" w:rsidR="005A5A1D" w:rsidRPr="005A5A1D" w:rsidRDefault="005A5A1D" w:rsidP="005A5A1D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Sieć Badawcza Łukasiewicz – PORT Polski Ośrodek Rozwoju Technologii oświadcza, że przetwarza dane osobowe zgodnie z powszechnie obowiązującymi przepisami prawa w tym zakresie w szczególności z Rozporządzeniem  Parlamentu Europejskiego i Rady (UE) 2016/679 dnia 27 kwietnia 2016r. w sprawie ochrony osób fizycznych w związku z przetwarzaniem danych osobowych i w sprawie swobodnego przepływu takich danych oraz uchylenia dyrektywy 95/46/WE (ogólne rozporządzenie o ochronie danych/</w:t>
      </w:r>
      <w:proofErr w:type="spellStart"/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rodo</w:t>
      </w:r>
      <w:proofErr w:type="spellEnd"/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). PORT dokłada najwyższych starań w celu ochrony informacji i danych osobowych, które gromadzi. PORT zapewnia odpowiednią administracyjną, techniczną i fizyczną ochronę danych osobowych przed przypadkowym, bezprawnym lub nieupoważnionym uszkodzeniem, utratą, modyfikacjami, dostępem, ujawnieniem lub ich wykorzystaniem. PORT</w:t>
      </w:r>
      <w:r w:rsidRPr="005A5A1D" w:rsidDel="00F1028C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 </w:t>
      </w:r>
      <w:r w:rsidRPr="005A5A1D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przechowuje dane osobowe jedynie tak długo, jak jest to niezbędne dla realizacji celu, dla którego dane osobowe zostały zgromadzone, chyba że co innego wynika z przepisów obowiązującego prawa. Co najmniej do upływu terminu przedawnienia ewentualnych roszczeń wynikających z konkretnego stosunku prawnego (w obrocie profesjonalnym co do zasady termin 3-letni od dnia wymagalności roszczenia).</w:t>
      </w:r>
    </w:p>
    <w:p w14:paraId="4E6490A9" w14:textId="3A4F206E" w:rsidR="00ED7972" w:rsidRPr="005A5A1D" w:rsidRDefault="00706A97" w:rsidP="00F74801">
      <w:pPr>
        <w:tabs>
          <w:tab w:val="right" w:pos="0"/>
          <w:tab w:val="left" w:pos="355"/>
          <w:tab w:val="left" w:pos="426"/>
          <w:tab w:val="right" w:pos="8894"/>
        </w:tabs>
        <w:suppressAutoHyphens/>
        <w:spacing w:after="0" w:line="276" w:lineRule="auto"/>
        <w:rPr>
          <w:rFonts w:ascii="Verdana" w:eastAsia="Verdana" w:hAnsi="Verdana" w:cs="Times New Roman"/>
          <w:color w:val="000000"/>
          <w:szCs w:val="20"/>
        </w:rPr>
      </w:pPr>
      <w:r w:rsidRPr="005C5B9E">
        <w:t xml:space="preserve"> </w:t>
      </w:r>
    </w:p>
    <w:sectPr w:rsidR="00ED7972" w:rsidRPr="005A5A1D" w:rsidSect="00836120">
      <w:footerReference w:type="default" r:id="rId11"/>
      <w:headerReference w:type="first" r:id="rId12"/>
      <w:footerReference w:type="first" r:id="rId13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2A8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C2A8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3682C36A" w:rsidR="00A4666C" w:rsidRPr="005A5A1D" w:rsidRDefault="007C64DF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5A5A1D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5F1751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555F075D" w:rsidR="00DA52A1" w:rsidRPr="00ED7972" w:rsidRDefault="007C64DF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3682C36A" w:rsidR="00A4666C" w:rsidRPr="005A5A1D" w:rsidRDefault="007C64DF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5A5A1D">
                      <w:rPr>
                        <w:lang w:val="en-US"/>
                      </w:rPr>
                      <w:t xml:space="preserve">.pl | NIP: 894 314 05 23, REGON: </w:t>
                    </w:r>
                    <w:r w:rsidR="005F1751">
                      <w:rPr>
                        <w:lang w:val="en-US"/>
                      </w:rPr>
                      <w:t>386585168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555F075D" w:rsidR="00DA52A1" w:rsidRPr="00ED7972" w:rsidRDefault="007C64DF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C2A8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C2A8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5B9D9DED" w:rsidR="00DA52A1" w:rsidRPr="005A5A1D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A5A1D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A5A1D">
                            <w:rPr>
                              <w:lang w:val="en-US"/>
                            </w:rPr>
                            <w:t>biuro</w:t>
                          </w:r>
                          <w:r w:rsidRPr="005A5A1D">
                            <w:rPr>
                              <w:lang w:val="en-US"/>
                            </w:rPr>
                            <w:t>@</w:t>
                          </w:r>
                          <w:r w:rsidR="007C64DF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5A5A1D">
                            <w:rPr>
                              <w:lang w:val="en-US"/>
                            </w:rPr>
                            <w:t>.pl</w:t>
                          </w:r>
                          <w:r w:rsidRPr="005A5A1D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A5A1D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5F1751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2045CAE6" w:rsidR="004F5805" w:rsidRPr="00ED7972" w:rsidRDefault="007C64DF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5B9D9DED" w:rsidR="00DA52A1" w:rsidRPr="005A5A1D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A5A1D">
                      <w:rPr>
                        <w:lang w:val="en-US"/>
                      </w:rPr>
                      <w:t xml:space="preserve">E-mail: </w:t>
                    </w:r>
                    <w:r w:rsidR="005D102F" w:rsidRPr="005A5A1D">
                      <w:rPr>
                        <w:lang w:val="en-US"/>
                      </w:rPr>
                      <w:t>biuro</w:t>
                    </w:r>
                    <w:r w:rsidRPr="005A5A1D">
                      <w:rPr>
                        <w:lang w:val="en-US"/>
                      </w:rPr>
                      <w:t>@</w:t>
                    </w:r>
                    <w:r w:rsidR="007C64DF">
                      <w:rPr>
                        <w:lang w:val="en-US"/>
                      </w:rPr>
                      <w:t>port.lukasiewicz.gov</w:t>
                    </w:r>
                    <w:r w:rsidR="005D102F" w:rsidRPr="005A5A1D">
                      <w:rPr>
                        <w:lang w:val="en-US"/>
                      </w:rPr>
                      <w:t>.pl</w:t>
                    </w:r>
                    <w:r w:rsidRPr="005A5A1D">
                      <w:rPr>
                        <w:lang w:val="en-US"/>
                      </w:rPr>
                      <w:t xml:space="preserve"> | NIP: </w:t>
                    </w:r>
                    <w:r w:rsidR="006F645A" w:rsidRPr="005A5A1D">
                      <w:rPr>
                        <w:lang w:val="en-US"/>
                      </w:rPr>
                      <w:t xml:space="preserve">894 314 05 23, REGON: </w:t>
                    </w:r>
                    <w:r w:rsidR="005F1751">
                      <w:rPr>
                        <w:lang w:val="en-US"/>
                      </w:rPr>
                      <w:t>386585168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2045CAE6" w:rsidR="004F5805" w:rsidRPr="00ED7972" w:rsidRDefault="007C64DF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47D8B"/>
    <w:rsid w:val="001A0BD2"/>
    <w:rsid w:val="001A3128"/>
    <w:rsid w:val="001C25D7"/>
    <w:rsid w:val="00231524"/>
    <w:rsid w:val="002D48BE"/>
    <w:rsid w:val="002F4540"/>
    <w:rsid w:val="00335F9F"/>
    <w:rsid w:val="00346C00"/>
    <w:rsid w:val="00354A18"/>
    <w:rsid w:val="00385B98"/>
    <w:rsid w:val="003F4BA3"/>
    <w:rsid w:val="004F5805"/>
    <w:rsid w:val="00526CDD"/>
    <w:rsid w:val="005A5A1D"/>
    <w:rsid w:val="005C5B9E"/>
    <w:rsid w:val="005D102F"/>
    <w:rsid w:val="005D1495"/>
    <w:rsid w:val="005F1751"/>
    <w:rsid w:val="0061216A"/>
    <w:rsid w:val="006747BD"/>
    <w:rsid w:val="006919BD"/>
    <w:rsid w:val="006D6DE5"/>
    <w:rsid w:val="006E5990"/>
    <w:rsid w:val="006F645A"/>
    <w:rsid w:val="00706A97"/>
    <w:rsid w:val="007C2A84"/>
    <w:rsid w:val="007C64DF"/>
    <w:rsid w:val="00805DF6"/>
    <w:rsid w:val="00821F16"/>
    <w:rsid w:val="00836120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60DF5"/>
    <w:rsid w:val="00A937E4"/>
    <w:rsid w:val="00AF309D"/>
    <w:rsid w:val="00B61F8A"/>
    <w:rsid w:val="00C736D5"/>
    <w:rsid w:val="00D005B3"/>
    <w:rsid w:val="00D01491"/>
    <w:rsid w:val="00D06D36"/>
    <w:rsid w:val="00D40690"/>
    <w:rsid w:val="00DA52A1"/>
    <w:rsid w:val="00E072F6"/>
    <w:rsid w:val="00ED7972"/>
    <w:rsid w:val="00EE3AB6"/>
    <w:rsid w:val="00EE493C"/>
    <w:rsid w:val="00F3435C"/>
    <w:rsid w:val="00F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E3A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E3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rastruktura@port.lukasiewicz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rastruktura@port.lukasiewicz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69944-2398-46D0-896C-B47DFE01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11</TotalTime>
  <Pages>2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eit</cp:lastModifiedBy>
  <cp:revision>16</cp:revision>
  <cp:lastPrinted>2020-02-07T19:43:00Z</cp:lastPrinted>
  <dcterms:created xsi:type="dcterms:W3CDTF">2020-06-23T08:00:00Z</dcterms:created>
  <dcterms:modified xsi:type="dcterms:W3CDTF">2020-12-30T12:15:00Z</dcterms:modified>
</cp:coreProperties>
</file>