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50D61" w14:textId="2BEABBCE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0D80FCB" w14:textId="21E95D42" w:rsidR="00E33855" w:rsidRDefault="006148EE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>Mikrowirówki – 2 szt</w:t>
      </w:r>
    </w:p>
    <w:p w14:paraId="6C7AD117" w14:textId="77777777" w:rsidR="00A8423C" w:rsidRPr="00BA1F0D" w:rsidRDefault="00A8423C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</w:p>
    <w:p w14:paraId="7BE28DDF" w14:textId="321C6F13" w:rsidR="004918C9" w:rsidRPr="00A8423C" w:rsidRDefault="00A8423C" w:rsidP="008F1F9D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>PARAMETRY TECHNICZE I EKSPOATACYJNE URZĄDZENIA</w:t>
      </w:r>
    </w:p>
    <w:p w14:paraId="334A4EFB" w14:textId="70DF1265" w:rsidR="008F1F9D" w:rsidRPr="00F83938" w:rsidRDefault="008F1F9D" w:rsidP="00E71BAB">
      <w:pPr>
        <w:pStyle w:val="Akapitzlist"/>
        <w:tabs>
          <w:tab w:val="left" w:pos="0"/>
        </w:tabs>
        <w:spacing w:before="120" w:after="240"/>
        <w:ind w:left="714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04504F46" w:rsidR="001F3478" w:rsidRPr="00F83938" w:rsidRDefault="00881EB4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Mikrowir</w:t>
            </w:r>
            <w:r w:rsidR="006C34AA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ó</w:t>
            </w: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wk</w:t>
            </w:r>
            <w:r w:rsidR="006C34AA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6245" w:type="dxa"/>
            <w:vAlign w:val="center"/>
          </w:tcPr>
          <w:p w14:paraId="6359FB9B" w14:textId="77777777" w:rsidR="00386C85" w:rsidRDefault="00386C85" w:rsidP="00386C85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  <w:p w14:paraId="222864C3" w14:textId="4B879F05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Wirówka na próbówki &lt;= 2ml, nastołowa z rotorem</w:t>
            </w:r>
            <w:r w:rsidR="00A8423C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na 12 próbówek&lt;=2 ml typu Eppendorf z 12 adapterami na próbówki 0,2 ml – 4 szt. </w:t>
            </w:r>
          </w:p>
          <w:p w14:paraId="37DF87C2" w14:textId="77777777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Automatyczne otwieranie pokrywy</w:t>
            </w:r>
          </w:p>
          <w:p w14:paraId="7402464A" w14:textId="77777777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Obroty maksymalne nie mniejsze niż: 13 400 rpm</w:t>
            </w:r>
          </w:p>
          <w:p w14:paraId="421C4A0A" w14:textId="77777777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Przyspieszenie odśrodkowe nie mniejsze niż: 12 000 g</w:t>
            </w:r>
          </w:p>
          <w:p w14:paraId="010AF989" w14:textId="77777777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Zegar: pulsacyjne wirowanie lub ustawienie do 30 min. </w:t>
            </w:r>
          </w:p>
          <w:p w14:paraId="6C6D32DD" w14:textId="77777777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Przycisk umożliwiający krótkie wirowanie bez konieczności predefiniowania czasu </w:t>
            </w:r>
          </w:p>
          <w:p w14:paraId="27BAAF0E" w14:textId="77777777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Poziom hałasu &lt;= 50dB</w:t>
            </w:r>
          </w:p>
          <w:p w14:paraId="1E9A0272" w14:textId="77777777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Czas osiągania maksymalnej prędkości nie dłuższy niż: 13s.</w:t>
            </w:r>
          </w:p>
          <w:p w14:paraId="3086B774" w14:textId="58CF402E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Czas hamowania z maksymalnej prędkości:  nie dłuży niż 16s. </w:t>
            </w:r>
          </w:p>
          <w:p w14:paraId="12B74E84" w14:textId="58401A1B" w:rsidR="009705D3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.</w:t>
            </w:r>
            <w:r w:rsidR="00881EB4">
              <w:rPr>
                <w:rFonts w:ascii="Roboto" w:hAnsi="Roboto" w:cstheme="minorHAnsi"/>
                <w:sz w:val="18"/>
                <w:szCs w:val="18"/>
              </w:rPr>
              <w:t xml:space="preserve">Blokada pokrywy, uniemożliwiającej otwarcie podczas pracy wirówki. </w:t>
            </w:r>
          </w:p>
          <w:p w14:paraId="045D01B6" w14:textId="02F04DEF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Alarm przegrzania i nadmiernej prędkości wirowania lub komunikat o awarii elektroniki.</w:t>
            </w:r>
          </w:p>
          <w:p w14:paraId="57EA80BF" w14:textId="64D0A510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regulacji parametrów pracy: </w:t>
            </w:r>
          </w:p>
          <w:p w14:paraId="735A10F0" w14:textId="38DA8CC7" w:rsidR="00881EB4" w:rsidRDefault="00881EB4" w:rsidP="00881E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Prędkość wirowania</w:t>
            </w:r>
          </w:p>
          <w:p w14:paraId="3442D2C1" w14:textId="28F61DB3" w:rsidR="00881EB4" w:rsidRDefault="00881EB4" w:rsidP="00881E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Przyśpieszenie odśrodkowe</w:t>
            </w:r>
          </w:p>
          <w:p w14:paraId="04DE2696" w14:textId="683CE5F9" w:rsidR="00881EB4" w:rsidRDefault="00881EB4" w:rsidP="00881E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Czas wirowania</w:t>
            </w:r>
          </w:p>
          <w:p w14:paraId="034F68B6" w14:textId="76E46F15" w:rsidR="00881EB4" w:rsidRDefault="00881EB4" w:rsidP="00881EB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Wyświetlanie aktualnych parametrów procesu: </w:t>
            </w:r>
          </w:p>
          <w:p w14:paraId="348665E0" w14:textId="7FDA4644" w:rsidR="00881EB4" w:rsidRDefault="00881EB4" w:rsidP="00881E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Prędkość wirowania w rpm o konwersja do rcf</w:t>
            </w:r>
          </w:p>
          <w:p w14:paraId="54F7E824" w14:textId="6265573D" w:rsidR="00881EB4" w:rsidRPr="00881EB4" w:rsidRDefault="00881EB4" w:rsidP="00881EB4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Czas pozostający do zakończenia</w:t>
            </w:r>
          </w:p>
          <w:p w14:paraId="767CA516" w14:textId="73C6A93E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Sterownie – klawiatura membranowa, zabezpieczająca przed zalaniem</w:t>
            </w:r>
          </w:p>
          <w:p w14:paraId="2757AA2F" w14:textId="3106AF91" w:rsidR="00881EB4" w:rsidRDefault="00881EB4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Zasilanie 230/50-60Hz</w:t>
            </w:r>
          </w:p>
          <w:p w14:paraId="360916F2" w14:textId="2B91C820" w:rsidR="00386C85" w:rsidRPr="00386C85" w:rsidRDefault="00386C85" w:rsidP="00DB2EB8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66A3D4CD" w:rsidR="00386C85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322227B4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5A30E2E6" w:rsidR="00DB2EB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963192">
      <w:pPr>
        <w:pStyle w:val="Nagwek"/>
        <w:spacing w:before="240"/>
        <w:rPr>
          <w:rFonts w:ascii="Roboto" w:hAnsi="Roboto" w:cs="Times New Roman"/>
          <w:sz w:val="18"/>
          <w:szCs w:val="18"/>
        </w:rPr>
      </w:pPr>
    </w:p>
    <w:sectPr w:rsidR="008F1F9D" w:rsidRPr="00BA1F0D" w:rsidSect="00A8423C">
      <w:footerReference w:type="default" r:id="rId8"/>
      <w:pgSz w:w="11906" w:h="16838"/>
      <w:pgMar w:top="680" w:right="170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8A7C1" w14:textId="77777777" w:rsidR="007D42FD" w:rsidRDefault="007D42FD">
      <w:pPr>
        <w:spacing w:before="0" w:after="0" w:line="240" w:lineRule="auto"/>
      </w:pPr>
      <w:r>
        <w:separator/>
      </w:r>
    </w:p>
  </w:endnote>
  <w:endnote w:type="continuationSeparator" w:id="0">
    <w:p w14:paraId="685D1FD1" w14:textId="77777777" w:rsidR="007D42FD" w:rsidRDefault="007D42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1D62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195283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478D0" w14:textId="77777777" w:rsidR="007D42FD" w:rsidRDefault="007D42FD">
      <w:pPr>
        <w:spacing w:before="0" w:after="0" w:line="240" w:lineRule="auto"/>
      </w:pPr>
      <w:r>
        <w:separator/>
      </w:r>
    </w:p>
  </w:footnote>
  <w:footnote w:type="continuationSeparator" w:id="0">
    <w:p w14:paraId="780ADB0B" w14:textId="77777777" w:rsidR="007D42FD" w:rsidRDefault="007D42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13"/>
  </w:num>
  <w:num w:numId="8">
    <w:abstractNumId w:val="10"/>
  </w:num>
  <w:num w:numId="9">
    <w:abstractNumId w:val="8"/>
  </w:num>
  <w:num w:numId="10">
    <w:abstractNumId w:val="4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9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283"/>
    <w:rsid w:val="00195EF1"/>
    <w:rsid w:val="001D290B"/>
    <w:rsid w:val="001D622E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D7649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86C85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148EE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1C83"/>
    <w:rsid w:val="006C34AA"/>
    <w:rsid w:val="006D550C"/>
    <w:rsid w:val="006E5D15"/>
    <w:rsid w:val="00706D27"/>
    <w:rsid w:val="007171A0"/>
    <w:rsid w:val="00727537"/>
    <w:rsid w:val="00736DEE"/>
    <w:rsid w:val="00742235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1EB4"/>
    <w:rsid w:val="008853B0"/>
    <w:rsid w:val="008938E2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3192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423C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322"/>
    <w:rsid w:val="00B83BEA"/>
    <w:rsid w:val="00B863BC"/>
    <w:rsid w:val="00BA1F0D"/>
    <w:rsid w:val="00BA765F"/>
    <w:rsid w:val="00BB0C5D"/>
    <w:rsid w:val="00BC172E"/>
    <w:rsid w:val="00BC21F0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1A53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2EB8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1BAB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64917FC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516D8-9C5E-4A3E-A2DA-C3677862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Katarzyna Zajaczkowska</cp:lastModifiedBy>
  <cp:revision>13</cp:revision>
  <cp:lastPrinted>2018-10-09T13:34:00Z</cp:lastPrinted>
  <dcterms:created xsi:type="dcterms:W3CDTF">2020-10-14T14:02:00Z</dcterms:created>
  <dcterms:modified xsi:type="dcterms:W3CDTF">2020-12-11T13:51:00Z</dcterms:modified>
</cp:coreProperties>
</file>