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7FD6" w14:textId="588D64E9" w:rsidR="005A5A1D" w:rsidRPr="005A5A1D" w:rsidRDefault="0061216A" w:rsidP="005A5A1D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bookmarkStart w:id="0" w:name="_GoBack"/>
      <w:bookmarkEnd w:id="0"/>
      <w:r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Załącznik nr 8</w:t>
      </w:r>
      <w:r w:rsidR="005A5A1D"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 xml:space="preserve"> do umowy </w:t>
      </w:r>
    </w:p>
    <w:p w14:paraId="13FBFDF3" w14:textId="77777777" w:rsidR="005A5A1D" w:rsidRPr="005A5A1D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54A1883" w14:textId="77777777" w:rsidR="005A5A1D" w:rsidRPr="005A5A1D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69B2D23" w14:textId="77777777" w:rsidR="005A5A1D" w:rsidRPr="005A5A1D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Warunki prowadzenia prac przez firmy zewnętrzne</w:t>
      </w:r>
    </w:p>
    <w:p w14:paraId="4A1F5F7F" w14:textId="77777777" w:rsidR="005A5A1D" w:rsidRPr="005A5A1D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obiektach Sieci Badawczej ŁUKASIEWICZ - PORT Polskiego Ośrodka Rozwoju Technologii zwanego dalej PORT</w:t>
      </w:r>
    </w:p>
    <w:p w14:paraId="309F656D" w14:textId="77777777" w:rsidR="005A5A1D" w:rsidRPr="005A5A1D" w:rsidRDefault="005A5A1D" w:rsidP="005A5A1D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obowiązujące od dnia 15.05.2018r.</w:t>
      </w:r>
    </w:p>
    <w:p w14:paraId="6E02DBB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6B4FB436" w14:textId="77777777" w:rsidR="00EE3AB6" w:rsidRPr="00D01491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auto"/>
          <w:spacing w:val="0"/>
          <w:szCs w:val="20"/>
          <w:lang w:eastAsia="pl-PL"/>
        </w:rPr>
      </w:pPr>
      <w:r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Dopuszcza się zgłoszenie prac mailem na adres: </w:t>
      </w:r>
      <w:hyperlink r:id="rId9" w:history="1">
        <w:r w:rsidR="00EE3AB6" w:rsidRPr="00D01491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imię.nazwisko@port.lukasiewicz.gov.pl</w:t>
        </w:r>
      </w:hyperlink>
      <w:r w:rsidR="00EE3AB6"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; </w:t>
      </w:r>
      <w:hyperlink r:id="rId10" w:history="1">
        <w:r w:rsidR="00EE3AB6" w:rsidRPr="00D01491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infrastruktura@port.lukasiewicz.gov.pl</w:t>
        </w:r>
      </w:hyperlink>
      <w:r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. </w:t>
      </w:r>
    </w:p>
    <w:p w14:paraId="7EB3E281" w14:textId="6BC16B09" w:rsidR="005A5A1D" w:rsidRPr="005A5A1D" w:rsidRDefault="005A5A1D" w:rsidP="00EE3AB6">
      <w:pPr>
        <w:spacing w:after="0" w:line="276" w:lineRule="auto"/>
        <w:ind w:left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>Zgłoszenie ma</w:t>
      </w:r>
      <w:r w:rsidR="00EE3AB6"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ilem nie zwalnia zgłaszającego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z konieczności uzyskania zatwierdzenia zgłoszenia prac. </w:t>
      </w:r>
    </w:p>
    <w:p w14:paraId="560565C6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Wszelkie prace odbywają się w godzinach 8:00-16:00. </w:t>
      </w:r>
    </w:p>
    <w:p w14:paraId="7239ECDE" w14:textId="77777777" w:rsidR="00E072F6" w:rsidRDefault="005A5A1D" w:rsidP="00E072F6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auto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  <w:hyperlink r:id="rId11" w:history="1">
        <w:r w:rsidR="00E072F6" w:rsidRPr="00E072F6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imię.nazwisko@port.lukasiewicz.gov.pl</w:t>
        </w:r>
      </w:hyperlink>
      <w:r w:rsidR="00E072F6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 </w:t>
      </w:r>
    </w:p>
    <w:p w14:paraId="281E40F6" w14:textId="3340E2F5" w:rsidR="005A5A1D" w:rsidRPr="00E072F6" w:rsidRDefault="00E072F6" w:rsidP="00E072F6">
      <w:pPr>
        <w:spacing w:after="0" w:line="276" w:lineRule="auto"/>
        <w:ind w:left="426"/>
        <w:rPr>
          <w:rFonts w:ascii="Verdana" w:eastAsia="Calibri" w:hAnsi="Verdana" w:cs="Roboto Lt"/>
          <w:color w:val="auto"/>
          <w:spacing w:val="0"/>
          <w:szCs w:val="20"/>
          <w:lang w:eastAsia="pl-PL"/>
        </w:rPr>
      </w:pPr>
      <w:r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>oraz</w:t>
      </w:r>
      <w:r w:rsidR="005A5A1D" w:rsidRPr="00E072F6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 </w:t>
      </w:r>
      <w:hyperlink r:id="rId12" w:history="1">
        <w:r w:rsidRPr="00E072F6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infrastruktura@port.lukasiewicz.gov.pl</w:t>
        </w:r>
      </w:hyperlink>
      <w:r w:rsidRPr="00E072F6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>.</w:t>
      </w:r>
    </w:p>
    <w:p w14:paraId="2BAEE3A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Prawidłowe zgłoszenie prac obowiązkowo musi zawierać następujące informacje:</w:t>
      </w:r>
    </w:p>
    <w:p w14:paraId="6F603FAD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Imiona i nazwiska pracowników</w:t>
      </w:r>
    </w:p>
    <w:p w14:paraId="5A77D106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Funkcje pracowników</w:t>
      </w:r>
    </w:p>
    <w:p w14:paraId="419AB2B7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Nr i seria aktualnego dowodu tożsamości pracowników i kierownika robót </w:t>
      </w:r>
    </w:p>
    <w:p w14:paraId="66C6E0A8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Rodzaj wykonywanych prac</w:t>
      </w:r>
    </w:p>
    <w:p w14:paraId="76A5867D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Imię i nazwisko, nr telefonu osoby nadzorującej prace</w:t>
      </w:r>
    </w:p>
    <w:p w14:paraId="4725541C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Dokładny termin wykonywania prac</w:t>
      </w:r>
    </w:p>
    <w:p w14:paraId="7E1882D2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0D5FAB8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Dopuszczane dowody tożsamości to aktualny dowód, paszport, prawo jazdy.</w:t>
      </w:r>
    </w:p>
    <w:p w14:paraId="2A4409A0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0F31FFB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Osoby niezgłoszone prawidłowo nie zostaną dopuszczone do wykonywania jakichkolwiek prac.</w:t>
      </w:r>
    </w:p>
    <w:p w14:paraId="0C2BD8FD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lastRenderedPageBreak/>
        <w:t>W czasie wykonywania prac obowiązuje całkowity zakaz palenia.</w:t>
      </w:r>
    </w:p>
    <w:p w14:paraId="09301CA8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czasie wykonania prac pracownicy firmy zewnętrznej zobowiązani są do przestrzegania przepisów BHP i ppoż.</w:t>
      </w:r>
    </w:p>
    <w:p w14:paraId="15C81C18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38EA8E00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19566234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22023451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14:paraId="499DCF95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oświadcza, że posiada kwalifikacje do wykonania prac. </w:t>
      </w:r>
    </w:p>
    <w:p w14:paraId="46315DE5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EEC0111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zobowiązana jest do zachowania w poufności wszelkich informacji technicznych, finansowych handlowych, prawnych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br/>
        <w:t xml:space="preserve">i organizacyjnych uzyskanych w związku z realizacją zamówienia, niezależnie od formy uzyskania tych informacji oraz ich źródła. </w:t>
      </w:r>
    </w:p>
    <w:p w14:paraId="6EF1D213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Ochrona danych osobowych:</w:t>
      </w:r>
    </w:p>
    <w:p w14:paraId="4E150821" w14:textId="77777777" w:rsidR="005A5A1D" w:rsidRPr="005A5A1D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</w:t>
      </w:r>
      <w:proofErr w:type="spellStart"/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rodo</w:t>
      </w:r>
      <w:proofErr w:type="spellEnd"/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5A5A1D" w:rsidDel="00F1028C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17E5C31E" w14:textId="77777777" w:rsidR="005A5A1D" w:rsidRPr="005A5A1D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E6490A9" w14:textId="5E3AA405" w:rsidR="00ED7972" w:rsidRPr="005A5A1D" w:rsidRDefault="005A5A1D" w:rsidP="005A5A1D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center"/>
        <w:rPr>
          <w:rFonts w:ascii="Verdana" w:eastAsia="Verdana" w:hAnsi="Verdana" w:cs="Times New Roman"/>
          <w:color w:val="000000"/>
          <w:szCs w:val="20"/>
        </w:rPr>
      </w:pPr>
      <w:r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ZAMAWIAJĄCY:                                                WYKONAWCA:</w:t>
      </w:r>
      <w:r w:rsidR="00706A97" w:rsidRPr="005C5B9E">
        <w:t xml:space="preserve"> </w:t>
      </w:r>
    </w:p>
    <w:sectPr w:rsidR="00ED7972" w:rsidRPr="005A5A1D" w:rsidSect="00836120"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175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175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682C36A" w:rsidR="00A4666C" w:rsidRPr="005A5A1D" w:rsidRDefault="007C64DF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5A5A1D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5F175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555F075D" w:rsidR="00DA52A1" w:rsidRPr="00ED7972" w:rsidRDefault="007C64DF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682C36A" w:rsidR="00A4666C" w:rsidRPr="005A5A1D" w:rsidRDefault="007C64DF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5A5A1D">
                      <w:rPr>
                        <w:lang w:val="en-US"/>
                      </w:rPr>
                      <w:t xml:space="preserve">.pl | NIP: 894 314 05 23, REGON: </w:t>
                    </w:r>
                    <w:r w:rsidR="005F1751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555F075D" w:rsidR="00DA52A1" w:rsidRPr="00ED7972" w:rsidRDefault="007C64DF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F175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F175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5B9D9DED" w:rsidR="00DA52A1" w:rsidRPr="005A5A1D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A5A1D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A5A1D">
                            <w:rPr>
                              <w:lang w:val="en-US"/>
                            </w:rPr>
                            <w:t>biuro</w:t>
                          </w:r>
                          <w:r w:rsidRPr="005A5A1D">
                            <w:rPr>
                              <w:lang w:val="en-US"/>
                            </w:rPr>
                            <w:t>@</w:t>
                          </w:r>
                          <w:r w:rsidR="007C64DF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A5A1D">
                            <w:rPr>
                              <w:lang w:val="en-US"/>
                            </w:rPr>
                            <w:t>.pl</w:t>
                          </w:r>
                          <w:r w:rsidRPr="005A5A1D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A5A1D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5F175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2045CAE6" w:rsidR="004F5805" w:rsidRPr="00ED7972" w:rsidRDefault="007C64DF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5B9D9DED" w:rsidR="00DA52A1" w:rsidRPr="005A5A1D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A5A1D">
                      <w:rPr>
                        <w:lang w:val="en-US"/>
                      </w:rPr>
                      <w:t xml:space="preserve">E-mail: </w:t>
                    </w:r>
                    <w:r w:rsidR="005D102F" w:rsidRPr="005A5A1D">
                      <w:rPr>
                        <w:lang w:val="en-US"/>
                      </w:rPr>
                      <w:t>biuro</w:t>
                    </w:r>
                    <w:r w:rsidRPr="005A5A1D">
                      <w:rPr>
                        <w:lang w:val="en-US"/>
                      </w:rPr>
                      <w:t>@</w:t>
                    </w:r>
                    <w:r w:rsidR="007C64DF">
                      <w:rPr>
                        <w:lang w:val="en-US"/>
                      </w:rPr>
                      <w:t>port.lukasiewicz.gov</w:t>
                    </w:r>
                    <w:r w:rsidR="005D102F" w:rsidRPr="005A5A1D">
                      <w:rPr>
                        <w:lang w:val="en-US"/>
                      </w:rPr>
                      <w:t>.pl</w:t>
                    </w:r>
                    <w:r w:rsidRPr="005A5A1D">
                      <w:rPr>
                        <w:lang w:val="en-US"/>
                      </w:rPr>
                      <w:t xml:space="preserve"> | NIP: </w:t>
                    </w:r>
                    <w:r w:rsidR="006F645A" w:rsidRPr="005A5A1D">
                      <w:rPr>
                        <w:lang w:val="en-US"/>
                      </w:rPr>
                      <w:t xml:space="preserve">894 314 05 23, REGON: </w:t>
                    </w:r>
                    <w:r w:rsidR="005F1751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2045CAE6" w:rsidR="004F5805" w:rsidRPr="00ED7972" w:rsidRDefault="007C64DF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A5A1D"/>
    <w:rsid w:val="005C5B9E"/>
    <w:rsid w:val="005D102F"/>
    <w:rsid w:val="005D1495"/>
    <w:rsid w:val="005F1751"/>
    <w:rsid w:val="0061216A"/>
    <w:rsid w:val="006747BD"/>
    <w:rsid w:val="006919BD"/>
    <w:rsid w:val="006D6DE5"/>
    <w:rsid w:val="006E5990"/>
    <w:rsid w:val="006F645A"/>
    <w:rsid w:val="00706A97"/>
    <w:rsid w:val="007C64DF"/>
    <w:rsid w:val="00805DF6"/>
    <w:rsid w:val="00821F16"/>
    <w:rsid w:val="00836120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F309D"/>
    <w:rsid w:val="00B61F8A"/>
    <w:rsid w:val="00C736D5"/>
    <w:rsid w:val="00D005B3"/>
    <w:rsid w:val="00D01491"/>
    <w:rsid w:val="00D06D36"/>
    <w:rsid w:val="00D40690"/>
    <w:rsid w:val="00DA52A1"/>
    <w:rsid w:val="00E072F6"/>
    <w:rsid w:val="00ED7972"/>
    <w:rsid w:val="00EE3AB6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E3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E3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port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port.lukasiewicz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rastruktura@port.lukasiewic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lukasiewicz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C94E-5249-4688-991E-A05CB067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6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12</cp:revision>
  <cp:lastPrinted>2020-02-07T19:43:00Z</cp:lastPrinted>
  <dcterms:created xsi:type="dcterms:W3CDTF">2020-06-23T08:00:00Z</dcterms:created>
  <dcterms:modified xsi:type="dcterms:W3CDTF">2020-07-30T10:35:00Z</dcterms:modified>
</cp:coreProperties>
</file>