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4F259" w14:textId="26B2330D" w:rsidR="003D3082" w:rsidRDefault="00B348DA" w:rsidP="003D3082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  <w:u w:val="single"/>
        </w:rPr>
      </w:pPr>
      <w:r w:rsidRPr="0071570D">
        <w:rPr>
          <w:rFonts w:ascii="Roboto" w:hAnsi="Roboto" w:cs="Times New Roman"/>
          <w:b/>
          <w:sz w:val="20"/>
          <w:szCs w:val="20"/>
          <w:u w:val="single"/>
        </w:rPr>
        <w:t>OPIS PRZEDMIOTU ZAMÓWIENIA</w:t>
      </w:r>
      <w:r w:rsidR="0071570D">
        <w:rPr>
          <w:rFonts w:ascii="Roboto" w:hAnsi="Roboto" w:cs="Times New Roman"/>
          <w:b/>
          <w:sz w:val="20"/>
          <w:szCs w:val="20"/>
          <w:u w:val="single"/>
        </w:rPr>
        <w:t xml:space="preserve"> </w:t>
      </w:r>
    </w:p>
    <w:p w14:paraId="1D5D30B9" w14:textId="77777777" w:rsidR="003D3082" w:rsidRPr="0071570D" w:rsidRDefault="003D3082" w:rsidP="003D3082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  <w:u w:val="single"/>
        </w:rPr>
      </w:pPr>
    </w:p>
    <w:p w14:paraId="40BA6A71" w14:textId="4E3DD25D" w:rsidR="003D3082" w:rsidRDefault="007F436F" w:rsidP="003D3082">
      <w:pPr>
        <w:pStyle w:val="Nagwek"/>
        <w:spacing w:before="0"/>
        <w:jc w:val="center"/>
        <w:rPr>
          <w:rFonts w:ascii="Roboto" w:hAnsi="Roboto" w:cs="Times New Roman"/>
          <w:b/>
          <w:color w:val="000000"/>
          <w:sz w:val="18"/>
          <w:szCs w:val="18"/>
          <w:lang w:eastAsia="pl-PL"/>
        </w:rPr>
      </w:pPr>
      <w:r>
        <w:rPr>
          <w:rFonts w:ascii="Roboto" w:hAnsi="Roboto" w:cs="Times New Roman"/>
          <w:b/>
          <w:sz w:val="20"/>
          <w:szCs w:val="20"/>
        </w:rPr>
        <w:t>„</w:t>
      </w:r>
      <w:r w:rsidR="0071570D">
        <w:rPr>
          <w:rFonts w:ascii="Roboto" w:hAnsi="Roboto" w:cs="Times New Roman"/>
          <w:b/>
          <w:sz w:val="20"/>
          <w:szCs w:val="20"/>
        </w:rPr>
        <w:t xml:space="preserve">Dostawa wraz z montażem, uruchomieniem i instruktażem </w:t>
      </w:r>
      <w:r w:rsidR="00075D7C">
        <w:rPr>
          <w:rFonts w:ascii="Roboto" w:hAnsi="Roboto" w:cs="Times New Roman"/>
          <w:b/>
          <w:sz w:val="20"/>
          <w:szCs w:val="20"/>
        </w:rPr>
        <w:t xml:space="preserve">poziomych autoklawów laboratoryjnych – 2 </w:t>
      </w:r>
      <w:proofErr w:type="spellStart"/>
      <w:r w:rsidR="004D6035">
        <w:rPr>
          <w:rFonts w:ascii="Roboto" w:hAnsi="Roboto" w:cs="Times New Roman"/>
          <w:b/>
          <w:sz w:val="20"/>
          <w:szCs w:val="20"/>
        </w:rPr>
        <w:t>szt</w:t>
      </w:r>
      <w:proofErr w:type="spellEnd"/>
      <w:r>
        <w:rPr>
          <w:rFonts w:ascii="Roboto" w:hAnsi="Roboto" w:cs="Times New Roman"/>
          <w:b/>
          <w:sz w:val="20"/>
          <w:szCs w:val="20"/>
        </w:rPr>
        <w:t>”</w:t>
      </w:r>
      <w:r w:rsidR="003D3082" w:rsidRPr="003D3082">
        <w:rPr>
          <w:rFonts w:ascii="Roboto" w:hAnsi="Roboto" w:cs="Times New Roman"/>
          <w:b/>
          <w:color w:val="000000"/>
          <w:sz w:val="18"/>
          <w:szCs w:val="18"/>
          <w:lang w:eastAsia="pl-PL"/>
        </w:rPr>
        <w:t xml:space="preserve"> </w:t>
      </w:r>
    </w:p>
    <w:p w14:paraId="10DE6429" w14:textId="77777777" w:rsidR="0071570D" w:rsidRPr="003D3082" w:rsidRDefault="0071570D" w:rsidP="0071570D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</w:p>
    <w:p w14:paraId="38D82521" w14:textId="1E69043A" w:rsidR="008F1F9D" w:rsidRPr="00920B63" w:rsidRDefault="00F25E6B" w:rsidP="00920B63">
      <w:pPr>
        <w:pStyle w:val="Akapitzlist"/>
        <w:numPr>
          <w:ilvl w:val="0"/>
          <w:numId w:val="13"/>
        </w:numPr>
        <w:tabs>
          <w:tab w:val="left" w:pos="0"/>
        </w:tabs>
        <w:spacing w:after="240"/>
        <w:rPr>
          <w:rFonts w:ascii="Roboto" w:hAnsi="Roboto"/>
          <w:b/>
          <w:sz w:val="18"/>
          <w:szCs w:val="18"/>
        </w:rPr>
      </w:pPr>
      <w:r w:rsidRPr="00920B63">
        <w:rPr>
          <w:rFonts w:ascii="Roboto" w:hAnsi="Roboto"/>
          <w:b/>
          <w:sz w:val="18"/>
          <w:szCs w:val="18"/>
        </w:rPr>
        <w:t xml:space="preserve">PARAMETRY </w:t>
      </w:r>
      <w:r w:rsidR="008F1F9D" w:rsidRPr="00920B63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584"/>
        <w:gridCol w:w="6783"/>
      </w:tblGrid>
      <w:tr w:rsidR="0071570D" w:rsidRPr="00F83938" w14:paraId="7BF2BAE8" w14:textId="77777777" w:rsidTr="0071570D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571541EC" w14:textId="77777777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14:paraId="658ED9E4" w14:textId="77777777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6783" w:type="dxa"/>
            <w:shd w:val="clear" w:color="auto" w:fill="D9D9D9" w:themeFill="background1" w:themeFillShade="D9"/>
            <w:vAlign w:val="center"/>
          </w:tcPr>
          <w:p w14:paraId="3449F3E5" w14:textId="56A4F979" w:rsidR="0071570D" w:rsidRPr="00F83938" w:rsidRDefault="00566B27" w:rsidP="00566B27">
            <w:pPr>
              <w:spacing w:before="0" w:after="0" w:line="240" w:lineRule="auto"/>
              <w:ind w:right="-108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Opis minimalnych wymaganych parametrów przez Zamawiającego</w:t>
            </w: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71570D" w:rsidRPr="00F83938" w14:paraId="6A5B4882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29F9439A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84" w:type="dxa"/>
            <w:vAlign w:val="center"/>
          </w:tcPr>
          <w:p w14:paraId="5AA34562" w14:textId="27A3F0F3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Poziomy autoklaw laboratoryjny </w:t>
            </w:r>
          </w:p>
        </w:tc>
        <w:tc>
          <w:tcPr>
            <w:tcW w:w="6783" w:type="dxa"/>
            <w:vAlign w:val="center"/>
          </w:tcPr>
          <w:p w14:paraId="44A9A3A8" w14:textId="77777777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90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Wolnostojący, poziomy autoklaw laboratoryjny.</w:t>
            </w:r>
          </w:p>
          <w:p w14:paraId="3AF842D1" w14:textId="56905E93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Komora o pojemności użytkow</w:t>
            </w:r>
            <w:r w:rsidR="0037216F">
              <w:rPr>
                <w:rFonts w:ascii="Roboto" w:hAnsi="Roboto" w:cstheme="minorHAnsi"/>
                <w:sz w:val="18"/>
                <w:szCs w:val="18"/>
              </w:rPr>
              <w:t>ej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min.430 litrów.</w:t>
            </w:r>
          </w:p>
          <w:p w14:paraId="7B890FC8" w14:textId="34969FD3" w:rsidR="00844C2D" w:rsidRDefault="00844C2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Możliwość sterylizacji minimum 16 zamkniętych klatek (dla zwierząt doświadczalnych) o wymiarach  398x207x145 mm.</w:t>
            </w:r>
          </w:p>
          <w:p w14:paraId="7390D6C7" w14:textId="77777777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Ciężar pustego urządzenia </w:t>
            </w:r>
          </w:p>
          <w:p w14:paraId="168C8269" w14:textId="36A98FEC" w:rsidR="0071570D" w:rsidRPr="0037216F" w:rsidRDefault="0071570D" w:rsidP="00ED060B">
            <w:pPr>
              <w:pStyle w:val="Akapitzlist"/>
              <w:autoSpaceDE w:val="0"/>
              <w:autoSpaceDN w:val="0"/>
              <w:adjustRightInd w:val="0"/>
              <w:ind w:left="745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- ze względu na nośność stropu wynoszącą 350 kg/m2 </w:t>
            </w:r>
            <w:r w:rsidR="0037216F" w:rsidRPr="0037216F">
              <w:rPr>
                <w:rFonts w:ascii="Roboto" w:hAnsi="Roboto"/>
                <w:sz w:val="18"/>
                <w:szCs w:val="18"/>
              </w:rPr>
              <w:t>zamawiający planuje zastosowanie mat rozpraszających. Uwzględniając konieczny rozmiar maty oraz dostępność powierzchni w pomieszczeniu, całkowity ciężar netto urządzenia nie może przekroczyć 550kg.</w:t>
            </w:r>
          </w:p>
          <w:p w14:paraId="61281D25" w14:textId="5100DD4F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O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>budowa wykonana ze stali nierdzewnej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AF310BF" w14:textId="77777777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EE78F6">
              <w:rPr>
                <w:rFonts w:ascii="Roboto" w:hAnsi="Roboto" w:cstheme="minorHAnsi"/>
                <w:sz w:val="18"/>
                <w:szCs w:val="18"/>
              </w:rPr>
              <w:t>Sterownik mikroprocesorowy z monitorem dotykowym, kontrolujący wszystkie parametry pracy, stała kontrola temperatury i ciśnienia</w:t>
            </w:r>
          </w:p>
          <w:p w14:paraId="39D65657" w14:textId="36D17CAA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EE78F6">
              <w:rPr>
                <w:rFonts w:ascii="Roboto" w:hAnsi="Roboto" w:cstheme="minorHAnsi"/>
                <w:sz w:val="18"/>
                <w:szCs w:val="18"/>
              </w:rPr>
              <w:t xml:space="preserve">Minimum 4 standardowe programy do sterylizacji: ciał stałych, odpadów w workach, cieczy skażonych i cieczy. Dodatkowo program czyszczący. Możliwość tworzenia min </w:t>
            </w:r>
            <w:r w:rsidR="0037216F">
              <w:rPr>
                <w:rFonts w:ascii="Roboto" w:hAnsi="Roboto" w:cstheme="minorHAnsi"/>
                <w:sz w:val="18"/>
                <w:szCs w:val="18"/>
              </w:rPr>
              <w:t>30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 xml:space="preserve"> programów sterylizacji opartych na powyższych szablonach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EBB111C" w14:textId="77777777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 w:rsidRPr="00EE78F6">
              <w:rPr>
                <w:rFonts w:ascii="Roboto" w:hAnsi="Roboto" w:cstheme="minorHAnsi"/>
                <w:sz w:val="18"/>
                <w:szCs w:val="18"/>
              </w:rPr>
              <w:t>2 sondy temperaturowe Pt100A – w spuście kondensatu oraz elastyczna sonda temperaturowa do umieszczania w produkcie / naczyniu referencyjnym – do sterowania procesami sterylizacji cieczy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98C4048" w14:textId="1DA85376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T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 xml:space="preserve">emperatura sterylizacji do 140ºC (max. ciśnienie 4 bar </w:t>
            </w:r>
            <w:proofErr w:type="spellStart"/>
            <w:r w:rsidRPr="00EE78F6">
              <w:rPr>
                <w:rFonts w:ascii="Roboto" w:hAnsi="Roboto" w:cstheme="minorHAnsi"/>
                <w:sz w:val="18"/>
                <w:szCs w:val="18"/>
              </w:rPr>
              <w:t>abs</w:t>
            </w:r>
            <w:proofErr w:type="spellEnd"/>
            <w:r w:rsidRPr="00EE78F6">
              <w:rPr>
                <w:rFonts w:ascii="Roboto" w:hAnsi="Roboto" w:cstheme="minorHAnsi"/>
                <w:sz w:val="18"/>
                <w:szCs w:val="18"/>
              </w:rPr>
              <w:t xml:space="preserve">.), czas sterylizacji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od 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>1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 xml:space="preserve"> 300 minut,  aktualny odczyt ciśnieni</w:t>
            </w: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 xml:space="preserve"> i temperatury w komorze autoklawu lub w produkcie widoczne na wyświetlaczu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48ACD38" w14:textId="1CF4814D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 xml:space="preserve">amięć </w:t>
            </w:r>
            <w:r w:rsidR="0037216F">
              <w:rPr>
                <w:rFonts w:ascii="Roboto" w:hAnsi="Roboto" w:cstheme="minorHAnsi"/>
                <w:sz w:val="18"/>
                <w:szCs w:val="18"/>
              </w:rPr>
              <w:t xml:space="preserve">wewnętrzna 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>rejestrująca dane procesowe i błędy – do celów serwisowyc</w:t>
            </w:r>
            <w:r>
              <w:rPr>
                <w:rFonts w:ascii="Roboto" w:hAnsi="Roboto" w:cstheme="minorHAnsi"/>
                <w:sz w:val="18"/>
                <w:szCs w:val="18"/>
              </w:rPr>
              <w:t>h.</w:t>
            </w:r>
          </w:p>
          <w:p w14:paraId="4BEFA6A0" w14:textId="77777777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>utomatyczne ryglowanie drzwi; blokada ciśnieniowa i termiczna drzwi - zgodne z aktualnymi normami, przepisami bhp i o dozorze technicznym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3D81454" w14:textId="77777777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>ytwornica pary oddzielona od komory sterylizacyjnej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390A9F0" w14:textId="77777777" w:rsidR="0071570D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>omora wyposażona w port walidacyjny do wprowadzania sond kontrolnych podczas testów kwalifikacyjnych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FD44AB4" w14:textId="77777777" w:rsidR="0071570D" w:rsidRPr="00F83938" w:rsidRDefault="0071570D" w:rsidP="00ED060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jc w:val="both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F</w:t>
            </w:r>
            <w:r w:rsidRPr="00EE78F6">
              <w:rPr>
                <w:rFonts w:ascii="Roboto" w:hAnsi="Roboto" w:cstheme="minorHAnsi"/>
                <w:sz w:val="18"/>
                <w:szCs w:val="18"/>
              </w:rPr>
              <w:t>unkcja podtrzymywania temperatury po sterylizacji ciecz</w:t>
            </w:r>
            <w:r>
              <w:rPr>
                <w:rFonts w:ascii="Roboto" w:hAnsi="Roboto" w:cstheme="minorHAnsi"/>
                <w:sz w:val="18"/>
                <w:szCs w:val="18"/>
              </w:rPr>
              <w:t>y</w:t>
            </w:r>
          </w:p>
        </w:tc>
      </w:tr>
      <w:tr w:rsidR="0071570D" w:rsidRPr="00F83938" w14:paraId="3EBE79A8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4AF980BD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84" w:type="dxa"/>
            <w:vAlign w:val="center"/>
          </w:tcPr>
          <w:p w14:paraId="60CCA082" w14:textId="77777777" w:rsidR="0071570D" w:rsidRPr="00F83938" w:rsidRDefault="0071570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Kompresor bezolejowy</w:t>
            </w:r>
          </w:p>
        </w:tc>
        <w:tc>
          <w:tcPr>
            <w:tcW w:w="6783" w:type="dxa"/>
            <w:vAlign w:val="center"/>
          </w:tcPr>
          <w:p w14:paraId="253690DE" w14:textId="77777777" w:rsidR="0071570D" w:rsidRPr="00F83938" w:rsidRDefault="0071570D" w:rsidP="005B01CB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Kompresor bezolejowy do obsługi systemów pneumatycznych autoklawu</w:t>
            </w:r>
          </w:p>
        </w:tc>
      </w:tr>
      <w:tr w:rsidR="0071570D" w:rsidRPr="00F83938" w14:paraId="3EBFA146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2C4E0829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84" w:type="dxa"/>
            <w:vAlign w:val="center"/>
          </w:tcPr>
          <w:p w14:paraId="489BD679" w14:textId="77777777" w:rsidR="0071570D" w:rsidRPr="00F83938" w:rsidRDefault="0071570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System próżniowy</w:t>
            </w:r>
          </w:p>
        </w:tc>
        <w:tc>
          <w:tcPr>
            <w:tcW w:w="6783" w:type="dxa"/>
            <w:vAlign w:val="center"/>
          </w:tcPr>
          <w:p w14:paraId="1D7FC809" w14:textId="77777777" w:rsidR="0071570D" w:rsidRPr="00F83938" w:rsidRDefault="0071570D" w:rsidP="005B01CB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7C09A4">
              <w:rPr>
                <w:rFonts w:ascii="Roboto" w:hAnsi="Roboto" w:cstheme="minorHAnsi"/>
                <w:sz w:val="18"/>
                <w:szCs w:val="18"/>
              </w:rPr>
              <w:t>System próżniowy, z pompą próżniową bezolejową (uszczelnianą pierścieniem wodnym), do odpowietrzania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wsadu metodą próżni frakcjonowanej oraz suszenia próżniowego ciał stałych</w:t>
            </w:r>
          </w:p>
        </w:tc>
      </w:tr>
      <w:tr w:rsidR="0071570D" w:rsidRPr="00F83938" w14:paraId="7762B687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589AC31C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84" w:type="dxa"/>
            <w:vAlign w:val="center"/>
          </w:tcPr>
          <w:p w14:paraId="443BEA5B" w14:textId="77777777" w:rsidR="0071570D" w:rsidRPr="00F83938" w:rsidRDefault="0071570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System suszenia</w:t>
            </w:r>
          </w:p>
        </w:tc>
        <w:tc>
          <w:tcPr>
            <w:tcW w:w="6783" w:type="dxa"/>
            <w:vAlign w:val="center"/>
          </w:tcPr>
          <w:p w14:paraId="499A6F16" w14:textId="77777777" w:rsidR="0071570D" w:rsidRPr="00F83938" w:rsidRDefault="0071570D" w:rsidP="005B01CB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</w:t>
            </w:r>
            <w:r w:rsidRPr="002E1F7C">
              <w:rPr>
                <w:rFonts w:ascii="Roboto" w:hAnsi="Roboto" w:cstheme="minorHAnsi"/>
                <w:sz w:val="18"/>
                <w:szCs w:val="18"/>
              </w:rPr>
              <w:t>olegający na podgrzewaniu ścian komory od zewnątrz podczas próżni końcowej (po sterylizacji)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2E1F7C">
              <w:rPr>
                <w:rFonts w:ascii="Roboto" w:hAnsi="Roboto" w:cstheme="minorHAnsi"/>
                <w:sz w:val="18"/>
                <w:szCs w:val="18"/>
              </w:rPr>
              <w:t>powoduj</w:t>
            </w:r>
            <w:r>
              <w:rPr>
                <w:rFonts w:ascii="Roboto" w:hAnsi="Roboto" w:cstheme="minorHAnsi"/>
                <w:sz w:val="18"/>
                <w:szCs w:val="18"/>
              </w:rPr>
              <w:t>ący</w:t>
            </w:r>
            <w:r w:rsidRPr="002E1F7C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>
              <w:rPr>
                <w:rFonts w:ascii="Roboto" w:hAnsi="Roboto" w:cstheme="minorHAnsi"/>
                <w:sz w:val="18"/>
                <w:szCs w:val="18"/>
              </w:rPr>
              <w:t>dokładne</w:t>
            </w:r>
            <w:r w:rsidRPr="002E1F7C">
              <w:rPr>
                <w:rFonts w:ascii="Roboto" w:hAnsi="Roboto" w:cstheme="minorHAnsi"/>
                <w:sz w:val="18"/>
                <w:szCs w:val="18"/>
              </w:rPr>
              <w:t xml:space="preserve"> suszenie wsadu (w tym materiałów porowatych, tekstyliów, końcówek do pipet, węży, itp.) </w:t>
            </w:r>
          </w:p>
        </w:tc>
      </w:tr>
      <w:tr w:rsidR="0071570D" w:rsidRPr="00F83938" w14:paraId="7F2659C6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21014B50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84" w:type="dxa"/>
            <w:vAlign w:val="center"/>
          </w:tcPr>
          <w:p w14:paraId="49B2EFB0" w14:textId="77777777" w:rsidR="0071570D" w:rsidRPr="00F83938" w:rsidRDefault="0071570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Drukarka</w:t>
            </w:r>
          </w:p>
        </w:tc>
        <w:tc>
          <w:tcPr>
            <w:tcW w:w="6783" w:type="dxa"/>
            <w:vAlign w:val="center"/>
          </w:tcPr>
          <w:p w14:paraId="70A2128B" w14:textId="77777777" w:rsidR="0071570D" w:rsidRPr="00F83938" w:rsidRDefault="0071570D" w:rsidP="005B01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2E1F7C">
              <w:rPr>
                <w:rFonts w:ascii="Roboto" w:hAnsi="Roboto" w:cstheme="minorHAnsi"/>
                <w:sz w:val="18"/>
                <w:szCs w:val="18"/>
              </w:rPr>
              <w:t>Drukarka do rejestracji danych temperatury, ciśnienia i czasu, fazy procesu i komunikatów</w:t>
            </w:r>
          </w:p>
        </w:tc>
      </w:tr>
      <w:tr w:rsidR="0071570D" w:rsidRPr="00F83938" w14:paraId="2CA8F303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7D4EF2F8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584" w:type="dxa"/>
            <w:vAlign w:val="center"/>
          </w:tcPr>
          <w:p w14:paraId="58CBFF9D" w14:textId="77777777" w:rsidR="0071570D" w:rsidRPr="00F83938" w:rsidRDefault="0071570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="Roboto" w:hAnsi="Roboto" w:cstheme="minorHAnsi"/>
                <w:b/>
                <w:sz w:val="18"/>
                <w:szCs w:val="18"/>
              </w:rPr>
              <w:t>Demineralizator</w:t>
            </w:r>
            <w:proofErr w:type="spellEnd"/>
            <w:r>
              <w:rPr>
                <w:rFonts w:ascii="Roboto" w:hAnsi="Roboto" w:cstheme="minorHAnsi"/>
                <w:b/>
                <w:sz w:val="18"/>
                <w:szCs w:val="18"/>
              </w:rPr>
              <w:t xml:space="preserve"> przepływowy współpracujący z autoklawem</w:t>
            </w:r>
          </w:p>
        </w:tc>
        <w:tc>
          <w:tcPr>
            <w:tcW w:w="6783" w:type="dxa"/>
            <w:vAlign w:val="center"/>
          </w:tcPr>
          <w:p w14:paraId="251A1D0D" w14:textId="2741FD31" w:rsidR="0071570D" w:rsidRPr="0000514C" w:rsidRDefault="0071570D" w:rsidP="0000514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bookmarkStart w:id="0" w:name="_Hlk40431764"/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Demineralizator</w:t>
            </w:r>
            <w:proofErr w:type="spellEnd"/>
            <w:r>
              <w:rPr>
                <w:rFonts w:ascii="Roboto" w:hAnsi="Roboto" w:cstheme="minorHAnsi"/>
                <w:sz w:val="18"/>
                <w:szCs w:val="18"/>
              </w:rPr>
              <w:t xml:space="preserve"> współpracujący z autoklawem zapewniający odpowiednią ilość wody demineralizowanej i gwarantujący jego poprawne działanie </w:t>
            </w:r>
            <w:bookmarkEnd w:id="0"/>
          </w:p>
        </w:tc>
      </w:tr>
      <w:tr w:rsidR="0071570D" w:rsidRPr="00F83938" w14:paraId="4A217979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687F932D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584" w:type="dxa"/>
            <w:vAlign w:val="center"/>
          </w:tcPr>
          <w:p w14:paraId="013E246E" w14:textId="77777777" w:rsidR="0071570D" w:rsidRPr="00F83938" w:rsidRDefault="0071570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Konduktometr</w:t>
            </w:r>
          </w:p>
        </w:tc>
        <w:tc>
          <w:tcPr>
            <w:tcW w:w="6783" w:type="dxa"/>
            <w:vAlign w:val="center"/>
          </w:tcPr>
          <w:p w14:paraId="006BED3A" w14:textId="71BF9993" w:rsidR="0071570D" w:rsidRPr="0037216F" w:rsidRDefault="0071570D" w:rsidP="0037216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</w:t>
            </w:r>
            <w:r w:rsidRPr="00F36221">
              <w:rPr>
                <w:rFonts w:ascii="Roboto" w:hAnsi="Roboto" w:cstheme="minorHAnsi"/>
                <w:sz w:val="18"/>
                <w:szCs w:val="18"/>
              </w:rPr>
              <w:t xml:space="preserve">onduktometr do pomiaru EC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(przewodności) </w:t>
            </w:r>
            <w:r w:rsidRPr="00F36221">
              <w:rPr>
                <w:rFonts w:ascii="Roboto" w:hAnsi="Roboto" w:cstheme="minorHAnsi"/>
                <w:sz w:val="18"/>
                <w:szCs w:val="18"/>
              </w:rPr>
              <w:t>w wodzie demineralizowanej i dejonizowanej</w:t>
            </w:r>
          </w:p>
          <w:p w14:paraId="477877C7" w14:textId="77777777" w:rsidR="0071570D" w:rsidRPr="002E1F7C" w:rsidRDefault="0071570D" w:rsidP="005B01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2E1F7C">
              <w:rPr>
                <w:rFonts w:ascii="Roboto" w:hAnsi="Roboto" w:cstheme="minorHAnsi"/>
                <w:sz w:val="18"/>
                <w:szCs w:val="18"/>
              </w:rPr>
              <w:t xml:space="preserve"> Alarm wizualny ostrzega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jący </w:t>
            </w:r>
            <w:r w:rsidRPr="002E1F7C">
              <w:rPr>
                <w:rFonts w:ascii="Roboto" w:hAnsi="Roboto" w:cstheme="minorHAnsi"/>
                <w:sz w:val="18"/>
                <w:szCs w:val="18"/>
              </w:rPr>
              <w:t xml:space="preserve">użytkownika, </w:t>
            </w:r>
            <w:r>
              <w:rPr>
                <w:rFonts w:ascii="Roboto" w:hAnsi="Roboto" w:cstheme="minorHAnsi"/>
                <w:sz w:val="18"/>
                <w:szCs w:val="18"/>
              </w:rPr>
              <w:t>o przekroczeniu zadanych parametrów</w:t>
            </w:r>
          </w:p>
          <w:p w14:paraId="7397DF7D" w14:textId="77777777" w:rsidR="0071570D" w:rsidRPr="00F36221" w:rsidRDefault="0071570D" w:rsidP="005B01CB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2E1F7C">
              <w:rPr>
                <w:rFonts w:ascii="Roboto" w:hAnsi="Roboto" w:cstheme="minorHAnsi"/>
                <w:sz w:val="18"/>
                <w:szCs w:val="18"/>
              </w:rPr>
              <w:t>Automatyczna kompensacja tem</w:t>
            </w:r>
            <w:r>
              <w:rPr>
                <w:rFonts w:ascii="Roboto" w:hAnsi="Roboto" w:cstheme="minorHAnsi"/>
                <w:sz w:val="18"/>
                <w:szCs w:val="18"/>
              </w:rPr>
              <w:t>p.</w:t>
            </w:r>
            <w:r w:rsidRPr="002E1F7C">
              <w:rPr>
                <w:rFonts w:ascii="Roboto" w:hAnsi="Roboto" w:cstheme="minorHAnsi"/>
                <w:sz w:val="18"/>
                <w:szCs w:val="18"/>
              </w:rPr>
              <w:t xml:space="preserve"> w zakresie od 5 do 50</w:t>
            </w:r>
            <w:r w:rsidRPr="006D0C60">
              <w:rPr>
                <w:rFonts w:ascii="Roboto" w:hAnsi="Roboto" w:cstheme="minorHAnsi"/>
                <w:sz w:val="18"/>
                <w:szCs w:val="18"/>
                <w:vertAlign w:val="superscript"/>
              </w:rPr>
              <w:t xml:space="preserve"> </w:t>
            </w:r>
            <w:proofErr w:type="spellStart"/>
            <w:r w:rsidRPr="006D0C60">
              <w:rPr>
                <w:rFonts w:ascii="Roboto" w:hAnsi="Roboto" w:cstheme="minorHAnsi"/>
                <w:sz w:val="18"/>
                <w:szCs w:val="18"/>
                <w:vertAlign w:val="superscript"/>
              </w:rPr>
              <w:t>o</w:t>
            </w:r>
            <w:r w:rsidRPr="002E1F7C">
              <w:rPr>
                <w:rFonts w:ascii="Roboto" w:hAnsi="Roboto" w:cstheme="minorHAnsi"/>
                <w:sz w:val="18"/>
                <w:szCs w:val="18"/>
              </w:rPr>
              <w:t>C</w:t>
            </w:r>
            <w:proofErr w:type="spellEnd"/>
            <w:r w:rsidRPr="002E1F7C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</w:p>
        </w:tc>
      </w:tr>
      <w:tr w:rsidR="0071570D" w:rsidRPr="00F83938" w14:paraId="3CE26666" w14:textId="77777777" w:rsidTr="0071570D">
        <w:trPr>
          <w:trHeight w:val="437"/>
        </w:trPr>
        <w:tc>
          <w:tcPr>
            <w:tcW w:w="556" w:type="dxa"/>
            <w:vAlign w:val="center"/>
          </w:tcPr>
          <w:p w14:paraId="013DF346" w14:textId="77777777" w:rsidR="0071570D" w:rsidRPr="00F83938" w:rsidRDefault="0071570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584" w:type="dxa"/>
            <w:vAlign w:val="center"/>
          </w:tcPr>
          <w:p w14:paraId="40AA6F84" w14:textId="77777777" w:rsidR="0071570D" w:rsidRPr="00F83938" w:rsidRDefault="0071570D" w:rsidP="00206BFD">
            <w:pPr>
              <w:autoSpaceDE w:val="0"/>
              <w:autoSpaceDN w:val="0"/>
              <w:adjustRightInd w:val="0"/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Zmiękczacz do wody do chłodzenia i pompy próżniowej autoklawu</w:t>
            </w:r>
          </w:p>
        </w:tc>
        <w:tc>
          <w:tcPr>
            <w:tcW w:w="6783" w:type="dxa"/>
            <w:vAlign w:val="center"/>
          </w:tcPr>
          <w:p w14:paraId="6584DF70" w14:textId="77777777" w:rsidR="0071570D" w:rsidRDefault="0071570D" w:rsidP="005B01C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 xml:space="preserve"> pełni automatyczny zmiękczacz wody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57CB1BE" w14:textId="1BD366B4" w:rsidR="0071570D" w:rsidRDefault="0071570D" w:rsidP="005B01C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57034D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>
              <w:rPr>
                <w:rFonts w:ascii="Roboto" w:hAnsi="Roboto" w:cstheme="minorHAnsi"/>
                <w:sz w:val="18"/>
                <w:szCs w:val="18"/>
              </w:rPr>
              <w:t>Wymiary całkowite urządzenia max.25x45 x45 cm (szerokość x wysokość x głębokość)</w:t>
            </w:r>
          </w:p>
          <w:p w14:paraId="34759B0D" w14:textId="77777777" w:rsidR="0071570D" w:rsidRDefault="0071570D" w:rsidP="005B01C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57034D">
              <w:rPr>
                <w:rFonts w:ascii="Roboto" w:hAnsi="Roboto" w:cstheme="minorHAnsi"/>
                <w:sz w:val="18"/>
                <w:szCs w:val="18"/>
              </w:rPr>
              <w:t xml:space="preserve">Automatyczna głowica sterująca z wbudowanym elektronicznym 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lastRenderedPageBreak/>
              <w:t>wodomierzem monitoruj</w:t>
            </w:r>
            <w:r>
              <w:rPr>
                <w:rFonts w:ascii="Roboto" w:hAnsi="Roboto" w:cstheme="minorHAnsi"/>
                <w:sz w:val="18"/>
                <w:szCs w:val="18"/>
              </w:rPr>
              <w:t>ącym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 xml:space="preserve"> zużycie wody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ECA004A" w14:textId="04704DAE" w:rsidR="0071570D" w:rsidRDefault="0071570D" w:rsidP="005B01C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57034D">
              <w:rPr>
                <w:rFonts w:ascii="Roboto" w:hAnsi="Roboto" w:cstheme="minorHAnsi"/>
                <w:sz w:val="18"/>
                <w:szCs w:val="18"/>
              </w:rPr>
              <w:t>Regeneracja urządzenia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>automatyczn</w:t>
            </w: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>, inicjowana przez mikropro</w:t>
            </w:r>
            <w:r>
              <w:rPr>
                <w:rFonts w:ascii="Roboto" w:hAnsi="Roboto" w:cstheme="minorHAnsi"/>
                <w:sz w:val="18"/>
                <w:szCs w:val="18"/>
              </w:rPr>
              <w:t>c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 xml:space="preserve">esor. </w:t>
            </w:r>
          </w:p>
          <w:p w14:paraId="4679E40F" w14:textId="2863C4EB" w:rsidR="0071570D" w:rsidRDefault="0071570D" w:rsidP="005B01C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 xml:space="preserve">ateriał eksploatacyjny </w:t>
            </w:r>
            <w:r w:rsidR="006D0C60" w:rsidRPr="0037216F">
              <w:rPr>
                <w:rFonts w:ascii="Roboto" w:hAnsi="Roboto" w:cstheme="minorHAnsi"/>
                <w:sz w:val="18"/>
                <w:szCs w:val="18"/>
              </w:rPr>
              <w:t>-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 xml:space="preserve"> roztwór soli. </w:t>
            </w:r>
          </w:p>
          <w:p w14:paraId="4D2EF0BC" w14:textId="77777777" w:rsidR="0071570D" w:rsidRPr="00F83938" w:rsidRDefault="0071570D" w:rsidP="005B01CB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F</w:t>
            </w:r>
            <w:r w:rsidRPr="0057034D">
              <w:rPr>
                <w:rFonts w:ascii="Roboto" w:hAnsi="Roboto" w:cstheme="minorHAnsi"/>
                <w:sz w:val="18"/>
                <w:szCs w:val="18"/>
              </w:rPr>
              <w:t>iltr wstępn</w:t>
            </w:r>
            <w:r>
              <w:rPr>
                <w:rFonts w:ascii="Roboto" w:hAnsi="Roboto" w:cstheme="minorHAnsi"/>
                <w:sz w:val="18"/>
                <w:szCs w:val="18"/>
              </w:rPr>
              <w:t>y przed zmiękczaczem</w:t>
            </w:r>
          </w:p>
        </w:tc>
      </w:tr>
      <w:tr w:rsidR="0071570D" w:rsidRPr="00F83938" w14:paraId="79782F13" w14:textId="77777777" w:rsidTr="0071570D">
        <w:trPr>
          <w:trHeight w:val="429"/>
        </w:trPr>
        <w:tc>
          <w:tcPr>
            <w:tcW w:w="556" w:type="dxa"/>
            <w:vAlign w:val="center"/>
          </w:tcPr>
          <w:p w14:paraId="083FB35D" w14:textId="2A4869F9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584" w:type="dxa"/>
            <w:vAlign w:val="center"/>
          </w:tcPr>
          <w:p w14:paraId="0ED0B8BA" w14:textId="77777777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6783" w:type="dxa"/>
            <w:vAlign w:val="center"/>
          </w:tcPr>
          <w:p w14:paraId="784B650C" w14:textId="7784313A" w:rsidR="0071570D" w:rsidRPr="00F83938" w:rsidRDefault="0071570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Dostawa i montaż urządzenia na terenie </w:t>
            </w:r>
            <w:r w:rsidRPr="0037216F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Ł</w:t>
            </w:r>
            <w:r w:rsidR="006D0C60" w:rsidRPr="0037216F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ukasiewicz </w:t>
            </w:r>
            <w:r w:rsidRPr="0037216F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PORT.</w:t>
            </w:r>
          </w:p>
          <w:p w14:paraId="7F708760" w14:textId="6540E61B" w:rsidR="0071570D" w:rsidRPr="00F83938" w:rsidRDefault="0071570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urządzenia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dostarcza wykonawca.</w:t>
            </w:r>
          </w:p>
        </w:tc>
      </w:tr>
      <w:tr w:rsidR="0071570D" w:rsidRPr="00F83938" w14:paraId="1E3D881A" w14:textId="77777777" w:rsidTr="0071570D">
        <w:trPr>
          <w:trHeight w:val="429"/>
        </w:trPr>
        <w:tc>
          <w:tcPr>
            <w:tcW w:w="556" w:type="dxa"/>
            <w:vAlign w:val="center"/>
          </w:tcPr>
          <w:p w14:paraId="12B2DC99" w14:textId="6E6AAC0B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584" w:type="dxa"/>
            <w:vAlign w:val="center"/>
          </w:tcPr>
          <w:p w14:paraId="72C59440" w14:textId="77777777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Dokumentacja UDT</w:t>
            </w:r>
          </w:p>
        </w:tc>
        <w:tc>
          <w:tcPr>
            <w:tcW w:w="6783" w:type="dxa"/>
            <w:vAlign w:val="center"/>
          </w:tcPr>
          <w:p w14:paraId="20D53DB5" w14:textId="77777777" w:rsidR="0071570D" w:rsidRPr="00F83938" w:rsidRDefault="0071570D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5B01CB">
              <w:rPr>
                <w:rFonts w:ascii="Roboto" w:hAnsi="Roboto"/>
                <w:sz w:val="18"/>
                <w:szCs w:val="18"/>
              </w:rPr>
              <w:t>Jeżeli urządzenie,  zgodnie z prawem, wymaga badań UDT, po stronie dostawcy jest  przygotowanie wszystkich niezbędnych dokumentów gwarantujących pozytywne wyniki badań.</w:t>
            </w:r>
          </w:p>
        </w:tc>
      </w:tr>
      <w:tr w:rsidR="0071570D" w:rsidRPr="00F83938" w14:paraId="3F83CFC2" w14:textId="77777777" w:rsidTr="0071570D">
        <w:trPr>
          <w:trHeight w:val="429"/>
        </w:trPr>
        <w:tc>
          <w:tcPr>
            <w:tcW w:w="556" w:type="dxa"/>
            <w:vAlign w:val="center"/>
          </w:tcPr>
          <w:p w14:paraId="399B1826" w14:textId="24850CBF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11.</w:t>
            </w:r>
          </w:p>
        </w:tc>
        <w:tc>
          <w:tcPr>
            <w:tcW w:w="2584" w:type="dxa"/>
            <w:vAlign w:val="center"/>
          </w:tcPr>
          <w:p w14:paraId="0DFA4752" w14:textId="77777777" w:rsidR="0071570D" w:rsidRPr="00F83938" w:rsidRDefault="0071570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6783" w:type="dxa"/>
            <w:vAlign w:val="center"/>
          </w:tcPr>
          <w:p w14:paraId="558EBC46" w14:textId="2C35EC6A" w:rsidR="0071570D" w:rsidRPr="001324A7" w:rsidRDefault="0071570D" w:rsidP="001324A7">
            <w:pPr>
              <w:pStyle w:val="Akapitzlist"/>
              <w:numPr>
                <w:ilvl w:val="0"/>
                <w:numId w:val="15"/>
              </w:numPr>
              <w:rPr>
                <w:rFonts w:ascii="Roboto" w:hAnsi="Roboto"/>
                <w:sz w:val="18"/>
                <w:szCs w:val="18"/>
              </w:rPr>
            </w:pPr>
            <w:r w:rsidRPr="001324A7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3EC6247C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355"/>
      </w:tblGrid>
      <w:tr w:rsidR="00566B27" w:rsidRPr="00F83938" w14:paraId="57647789" w14:textId="77777777" w:rsidTr="00566B27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52728F2C" w14:textId="77777777" w:rsidR="00566B27" w:rsidRPr="00F83938" w:rsidRDefault="00566B27" w:rsidP="00C520F4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355" w:type="dxa"/>
            <w:shd w:val="clear" w:color="auto" w:fill="E7E6E6"/>
            <w:vAlign w:val="center"/>
          </w:tcPr>
          <w:p w14:paraId="0FEB7AEE" w14:textId="2B0B0804" w:rsidR="00566B27" w:rsidRPr="00F83938" w:rsidRDefault="007E19CF" w:rsidP="007E19CF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566B27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</w:tr>
      <w:tr w:rsidR="00566B27" w:rsidRPr="00F83938" w14:paraId="7FECD407" w14:textId="77777777" w:rsidTr="00566B27">
        <w:trPr>
          <w:trHeight w:val="209"/>
        </w:trPr>
        <w:tc>
          <w:tcPr>
            <w:tcW w:w="568" w:type="dxa"/>
          </w:tcPr>
          <w:p w14:paraId="444AB1D0" w14:textId="77777777" w:rsidR="00566B27" w:rsidRPr="00F83938" w:rsidRDefault="00566B27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355" w:type="dxa"/>
          </w:tcPr>
          <w:p w14:paraId="009459C0" w14:textId="442BA607" w:rsidR="00566B27" w:rsidRPr="00F83938" w:rsidRDefault="00566B27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</w:t>
            </w:r>
            <w:r w:rsidR="00511774">
              <w:rPr>
                <w:rFonts w:ascii="Roboto" w:hAnsi="Roboto" w:cs="Times New Roman"/>
                <w:sz w:val="18"/>
                <w:szCs w:val="18"/>
              </w:rPr>
              <w:t>ę</w:t>
            </w:r>
            <w:r w:rsidR="008E7550">
              <w:rPr>
                <w:rFonts w:ascii="Roboto" w:hAnsi="Roboto" w:cs="Times New Roman"/>
                <w:sz w:val="18"/>
                <w:szCs w:val="18"/>
              </w:rPr>
              <w:t>cy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</w:tr>
      <w:tr w:rsidR="00566B27" w:rsidRPr="00F83938" w14:paraId="3D28C974" w14:textId="77777777" w:rsidTr="00566B27">
        <w:trPr>
          <w:trHeight w:val="233"/>
        </w:trPr>
        <w:tc>
          <w:tcPr>
            <w:tcW w:w="568" w:type="dxa"/>
          </w:tcPr>
          <w:p w14:paraId="5A18B0B2" w14:textId="552EEB7C" w:rsidR="00566B27" w:rsidRPr="00F83938" w:rsidRDefault="00566B27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355" w:type="dxa"/>
          </w:tcPr>
          <w:p w14:paraId="003F8C3D" w14:textId="0C840537" w:rsidR="00566B27" w:rsidRPr="00F83938" w:rsidRDefault="00566B27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C047C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</w:tr>
      <w:tr w:rsidR="00566B27" w:rsidRPr="00F83938" w14:paraId="2599AC82" w14:textId="77777777" w:rsidTr="00566B27">
        <w:trPr>
          <w:trHeight w:val="233"/>
        </w:trPr>
        <w:tc>
          <w:tcPr>
            <w:tcW w:w="568" w:type="dxa"/>
          </w:tcPr>
          <w:p w14:paraId="3B8F0EF3" w14:textId="4350C0E0" w:rsidR="00566B27" w:rsidRPr="00F83938" w:rsidRDefault="00AC4D90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</w:t>
            </w:r>
          </w:p>
        </w:tc>
        <w:tc>
          <w:tcPr>
            <w:tcW w:w="9355" w:type="dxa"/>
          </w:tcPr>
          <w:p w14:paraId="7A3D443C" w14:textId="04C58283" w:rsidR="00566B27" w:rsidRPr="00F83938" w:rsidRDefault="00F80B0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</w:tr>
      <w:tr w:rsidR="00566B27" w:rsidRPr="00F83938" w14:paraId="5835B6D0" w14:textId="77777777" w:rsidTr="00566B27">
        <w:trPr>
          <w:trHeight w:val="233"/>
        </w:trPr>
        <w:tc>
          <w:tcPr>
            <w:tcW w:w="568" w:type="dxa"/>
          </w:tcPr>
          <w:p w14:paraId="137BB2B9" w14:textId="282C9549" w:rsidR="00566B27" w:rsidRPr="00F83938" w:rsidRDefault="00AC4D90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</w:t>
            </w:r>
          </w:p>
        </w:tc>
        <w:tc>
          <w:tcPr>
            <w:tcW w:w="9355" w:type="dxa"/>
          </w:tcPr>
          <w:p w14:paraId="0B841F3A" w14:textId="5167E61D" w:rsidR="00566B27" w:rsidRPr="00075D7C" w:rsidRDefault="00566B27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 e-mail lub zgłoszenie serwisowe) w przypadku awarii do </w:t>
            </w:r>
            <w:r w:rsidR="008D1189" w:rsidRPr="00075D7C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</w:tr>
      <w:tr w:rsidR="00566B27" w:rsidRPr="00F83938" w14:paraId="2A5000F2" w14:textId="77777777" w:rsidTr="00566B27">
        <w:trPr>
          <w:trHeight w:val="233"/>
        </w:trPr>
        <w:tc>
          <w:tcPr>
            <w:tcW w:w="568" w:type="dxa"/>
          </w:tcPr>
          <w:p w14:paraId="1FB31C23" w14:textId="19F3C326" w:rsidR="00566B27" w:rsidRPr="00F83938" w:rsidRDefault="00AC4D90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</w:t>
            </w:r>
          </w:p>
        </w:tc>
        <w:tc>
          <w:tcPr>
            <w:tcW w:w="9355" w:type="dxa"/>
          </w:tcPr>
          <w:p w14:paraId="354B24A3" w14:textId="030AC635" w:rsidR="00566B27" w:rsidRPr="00075D7C" w:rsidRDefault="00566B27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 xml:space="preserve">Maksymalny czas usunięcia usterki: </w:t>
            </w:r>
            <w:r w:rsidR="008D1189" w:rsidRPr="00075D7C"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 xml:space="preserve"> dni od momentu zgłoszenia w dowolnej formie (e-mail lub zgłoszenie serwisowe) (niezależnie czy wiąże się z wymianą podzespołu czy nie)</w:t>
            </w:r>
            <w:r w:rsidR="004660AB">
              <w:rPr>
                <w:rFonts w:ascii="Roboto" w:hAnsi="Roboto" w:cs="Times New Roman"/>
                <w:bCs/>
                <w:sz w:val="18"/>
                <w:szCs w:val="18"/>
              </w:rPr>
              <w:t xml:space="preserve">. W przypadku konieczności wymiany urządzenia </w:t>
            </w:r>
            <w:r w:rsidR="003C4420">
              <w:rPr>
                <w:rFonts w:ascii="Roboto" w:hAnsi="Roboto" w:cs="Times New Roman"/>
                <w:bCs/>
                <w:sz w:val="18"/>
                <w:szCs w:val="18"/>
              </w:rPr>
              <w:t>wymiany sprzętu</w:t>
            </w:r>
            <w:r w:rsidR="004660AB">
              <w:rPr>
                <w:rFonts w:ascii="Roboto" w:hAnsi="Roboto" w:cs="Times New Roman"/>
                <w:bCs/>
                <w:sz w:val="18"/>
                <w:szCs w:val="18"/>
              </w:rPr>
              <w:t xml:space="preserve"> wynosi 2 miesiące.</w:t>
            </w:r>
          </w:p>
        </w:tc>
      </w:tr>
      <w:tr w:rsidR="00566B27" w:rsidRPr="00F83938" w14:paraId="7D1E5850" w14:textId="77777777" w:rsidTr="00566B27">
        <w:trPr>
          <w:trHeight w:val="233"/>
        </w:trPr>
        <w:tc>
          <w:tcPr>
            <w:tcW w:w="568" w:type="dxa"/>
          </w:tcPr>
          <w:p w14:paraId="5A410BFE" w14:textId="4F6294FA" w:rsidR="00566B27" w:rsidRPr="00F83938" w:rsidRDefault="00AC4D90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9355" w:type="dxa"/>
          </w:tcPr>
          <w:p w14:paraId="0C760570" w14:textId="1BE805A1" w:rsidR="00566B27" w:rsidRPr="00F83938" w:rsidRDefault="00566B27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 w:rsidR="003C4420"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 w:rsidR="00BE30E8"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</w:p>
        </w:tc>
      </w:tr>
      <w:tr w:rsidR="00566B27" w:rsidRPr="00F83938" w14:paraId="01FFEA66" w14:textId="77777777" w:rsidTr="00566B27">
        <w:trPr>
          <w:trHeight w:val="262"/>
        </w:trPr>
        <w:tc>
          <w:tcPr>
            <w:tcW w:w="568" w:type="dxa"/>
          </w:tcPr>
          <w:p w14:paraId="102EDDD1" w14:textId="13FA1DBB" w:rsidR="00566B27" w:rsidRPr="00F83938" w:rsidRDefault="00AC4D90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</w:t>
            </w:r>
          </w:p>
        </w:tc>
        <w:tc>
          <w:tcPr>
            <w:tcW w:w="9355" w:type="dxa"/>
          </w:tcPr>
          <w:p w14:paraId="71004C00" w14:textId="00410FA3" w:rsidR="00566B27" w:rsidRPr="00F83938" w:rsidRDefault="00980042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</w:t>
            </w:r>
          </w:p>
        </w:tc>
      </w:tr>
      <w:tr w:rsidR="00566B27" w:rsidRPr="00F83938" w14:paraId="722D8265" w14:textId="77777777" w:rsidTr="00566B27">
        <w:trPr>
          <w:trHeight w:val="281"/>
        </w:trPr>
        <w:tc>
          <w:tcPr>
            <w:tcW w:w="568" w:type="dxa"/>
          </w:tcPr>
          <w:p w14:paraId="51CFF4DD" w14:textId="5B018FF1" w:rsidR="00566B27" w:rsidRPr="00F83938" w:rsidRDefault="00AC4D90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</w:t>
            </w:r>
          </w:p>
        </w:tc>
        <w:tc>
          <w:tcPr>
            <w:tcW w:w="9355" w:type="dxa"/>
          </w:tcPr>
          <w:p w14:paraId="31F1A9C4" w14:textId="77777777" w:rsidR="00566B27" w:rsidRPr="00F83938" w:rsidRDefault="00566B27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</w:p>
        </w:tc>
      </w:tr>
    </w:tbl>
    <w:p w14:paraId="56F04990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9894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355"/>
      </w:tblGrid>
      <w:tr w:rsidR="008E7550" w:rsidRPr="00F83938" w14:paraId="713BC5AA" w14:textId="77777777" w:rsidTr="008E7550">
        <w:trPr>
          <w:trHeight w:val="544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B42F04E" w14:textId="77777777" w:rsidR="008E7550" w:rsidRPr="00F83938" w:rsidRDefault="008E7550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935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1EC2451" w14:textId="77777777" w:rsidR="008E7550" w:rsidRDefault="008E7550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  <w:p w14:paraId="398E89A7" w14:textId="7B39FC5C" w:rsidR="008E7550" w:rsidRPr="00F83938" w:rsidRDefault="008E7550" w:rsidP="008E7550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</w:tc>
      </w:tr>
      <w:tr w:rsidR="008E7550" w:rsidRPr="00F83938" w14:paraId="18C1468C" w14:textId="77777777" w:rsidTr="008E7550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D1AF130" w14:textId="77777777" w:rsidR="008E7550" w:rsidRPr="00F83938" w:rsidRDefault="008E7550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37D9A" w14:textId="7E64BB66" w:rsidR="008E7550" w:rsidRPr="00F83938" w:rsidRDefault="008E7550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na  miejscu po  instalacji </w:t>
            </w:r>
            <w:r w:rsidR="00BB7716">
              <w:rPr>
                <w:rFonts w:ascii="Roboto" w:hAnsi="Roboto" w:cs="Times New Roman"/>
                <w:sz w:val="18"/>
                <w:szCs w:val="18"/>
              </w:rPr>
              <w:t>– dla min. 3 osób, min. 2 godziny</w:t>
            </w:r>
          </w:p>
        </w:tc>
      </w:tr>
    </w:tbl>
    <w:p w14:paraId="41DDB41D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71539EFD" w14:textId="54E1C024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</w:t>
      </w:r>
      <w:r w:rsidR="00366F08">
        <w:rPr>
          <w:rFonts w:ascii="Roboto" w:hAnsi="Roboto" w:cs="Times New Roman"/>
          <w:sz w:val="18"/>
          <w:szCs w:val="18"/>
        </w:rPr>
        <w:t xml:space="preserve">i wymaganiami </w:t>
      </w:r>
      <w:r w:rsidRPr="00F83938">
        <w:rPr>
          <w:rFonts w:ascii="Roboto" w:hAnsi="Roboto" w:cs="Times New Roman"/>
          <w:sz w:val="18"/>
          <w:szCs w:val="18"/>
        </w:rPr>
        <w:t xml:space="preserve">minimalnymi </w:t>
      </w:r>
      <w:r w:rsidR="00366F08">
        <w:rPr>
          <w:rFonts w:ascii="Roboto" w:hAnsi="Roboto" w:cs="Times New Roman"/>
          <w:sz w:val="18"/>
          <w:szCs w:val="18"/>
        </w:rPr>
        <w:br/>
      </w:r>
      <w:r w:rsidRPr="00F83938">
        <w:rPr>
          <w:rFonts w:ascii="Roboto" w:hAnsi="Roboto" w:cs="Times New Roman"/>
          <w:sz w:val="18"/>
          <w:szCs w:val="18"/>
        </w:rPr>
        <w:t xml:space="preserve">i są bezwzględnie wymagane. </w:t>
      </w:r>
    </w:p>
    <w:p w14:paraId="2B99DC66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  <w:bookmarkStart w:id="1" w:name="_GoBack"/>
      <w:bookmarkEnd w:id="1"/>
    </w:p>
    <w:sectPr w:rsidR="008F1F9D" w:rsidRPr="00BA1F0D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941D057" w15:done="0"/>
  <w15:commentEx w15:paraId="18CFA0FD" w15:paraIdParent="3941D057" w15:done="0"/>
  <w15:commentEx w15:paraId="429F9CE3" w15:paraIdParent="3941D0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C44E1" w16cex:dateUtc="2020-06-23T07:07:00Z"/>
  <w16cex:commentExtensible w16cex:durableId="22A088FA" w16cex:dateUtc="2020-06-26T12:47:00Z"/>
  <w16cex:commentExtensible w16cex:durableId="22A436C6" w16cex:dateUtc="2020-06-29T07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41D057" w16cid:durableId="229C44E1"/>
  <w16cid:commentId w16cid:paraId="18CFA0FD" w16cid:durableId="22A088FA"/>
  <w16cid:commentId w16cid:paraId="429F9CE3" w16cid:durableId="22A436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A90F3" w14:textId="77777777" w:rsidR="00880BD2" w:rsidRDefault="00880BD2">
      <w:pPr>
        <w:spacing w:before="0" w:after="0" w:line="240" w:lineRule="auto"/>
      </w:pPr>
      <w:r>
        <w:separator/>
      </w:r>
    </w:p>
  </w:endnote>
  <w:endnote w:type="continuationSeparator" w:id="0">
    <w:p w14:paraId="7F3E8F15" w14:textId="77777777" w:rsidR="00880BD2" w:rsidRDefault="00880B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19A93FF8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B222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7C7B1" w14:textId="77777777" w:rsidR="003B77CA" w:rsidRDefault="00B22204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8943B" w14:textId="77777777" w:rsidR="00880BD2" w:rsidRDefault="00880BD2">
      <w:pPr>
        <w:spacing w:before="0" w:after="0" w:line="240" w:lineRule="auto"/>
      </w:pPr>
      <w:r>
        <w:separator/>
      </w:r>
    </w:p>
  </w:footnote>
  <w:footnote w:type="continuationSeparator" w:id="0">
    <w:p w14:paraId="1AABF662" w14:textId="77777777" w:rsidR="00880BD2" w:rsidRDefault="00880B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7A4"/>
    <w:multiLevelType w:val="hybridMultilevel"/>
    <w:tmpl w:val="6C9E6DA4"/>
    <w:lvl w:ilvl="0" w:tplc="25D608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215"/>
    <w:multiLevelType w:val="hybridMultilevel"/>
    <w:tmpl w:val="F2623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D305CA"/>
    <w:multiLevelType w:val="hybridMultilevel"/>
    <w:tmpl w:val="C71ABD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  <w:num w:numId="12">
    <w:abstractNumId w:val="12"/>
  </w:num>
  <w:num w:numId="13">
    <w:abstractNumId w:val="6"/>
  </w:num>
  <w:num w:numId="14">
    <w:abstractNumId w:val="0"/>
  </w:num>
  <w:num w:numId="15">
    <w:abstractNumId w:val="4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0514C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75D7C"/>
    <w:rsid w:val="000826D2"/>
    <w:rsid w:val="00083FF7"/>
    <w:rsid w:val="000A0735"/>
    <w:rsid w:val="000A35D1"/>
    <w:rsid w:val="000B11C6"/>
    <w:rsid w:val="000B6766"/>
    <w:rsid w:val="000C047C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324A7"/>
    <w:rsid w:val="00146C39"/>
    <w:rsid w:val="00147660"/>
    <w:rsid w:val="00164233"/>
    <w:rsid w:val="00172A3C"/>
    <w:rsid w:val="00182F54"/>
    <w:rsid w:val="00183126"/>
    <w:rsid w:val="00193AD5"/>
    <w:rsid w:val="00195EF1"/>
    <w:rsid w:val="001D290B"/>
    <w:rsid w:val="001F19C9"/>
    <w:rsid w:val="00206BFD"/>
    <w:rsid w:val="00214C9B"/>
    <w:rsid w:val="00221917"/>
    <w:rsid w:val="00236370"/>
    <w:rsid w:val="00236F46"/>
    <w:rsid w:val="00237952"/>
    <w:rsid w:val="00237CBB"/>
    <w:rsid w:val="00242D2B"/>
    <w:rsid w:val="00284582"/>
    <w:rsid w:val="0028516F"/>
    <w:rsid w:val="00285E48"/>
    <w:rsid w:val="00287FA2"/>
    <w:rsid w:val="002A1C67"/>
    <w:rsid w:val="002A5394"/>
    <w:rsid w:val="002C4503"/>
    <w:rsid w:val="002C5D24"/>
    <w:rsid w:val="002D72E4"/>
    <w:rsid w:val="002E1F7C"/>
    <w:rsid w:val="002E55F3"/>
    <w:rsid w:val="002F2566"/>
    <w:rsid w:val="002F452B"/>
    <w:rsid w:val="00316F18"/>
    <w:rsid w:val="00317CF6"/>
    <w:rsid w:val="00331066"/>
    <w:rsid w:val="00341480"/>
    <w:rsid w:val="00364BEF"/>
    <w:rsid w:val="00366F08"/>
    <w:rsid w:val="0037216F"/>
    <w:rsid w:val="00383186"/>
    <w:rsid w:val="003A509D"/>
    <w:rsid w:val="003A660E"/>
    <w:rsid w:val="003B2C4B"/>
    <w:rsid w:val="003B51A3"/>
    <w:rsid w:val="003C4420"/>
    <w:rsid w:val="003D3082"/>
    <w:rsid w:val="003D6CF0"/>
    <w:rsid w:val="003E715C"/>
    <w:rsid w:val="003F6176"/>
    <w:rsid w:val="004044C3"/>
    <w:rsid w:val="0041293E"/>
    <w:rsid w:val="00413C4C"/>
    <w:rsid w:val="004239B6"/>
    <w:rsid w:val="00424CFC"/>
    <w:rsid w:val="00427F24"/>
    <w:rsid w:val="004364F0"/>
    <w:rsid w:val="004401CC"/>
    <w:rsid w:val="00445923"/>
    <w:rsid w:val="00450A6B"/>
    <w:rsid w:val="004660AB"/>
    <w:rsid w:val="00471088"/>
    <w:rsid w:val="0047243E"/>
    <w:rsid w:val="00482B36"/>
    <w:rsid w:val="004852EF"/>
    <w:rsid w:val="004918C9"/>
    <w:rsid w:val="004A562F"/>
    <w:rsid w:val="004B2A67"/>
    <w:rsid w:val="004B758F"/>
    <w:rsid w:val="004D0840"/>
    <w:rsid w:val="004D3B8E"/>
    <w:rsid w:val="004D6035"/>
    <w:rsid w:val="004F2EE6"/>
    <w:rsid w:val="004F671B"/>
    <w:rsid w:val="00511774"/>
    <w:rsid w:val="00540BAA"/>
    <w:rsid w:val="00557190"/>
    <w:rsid w:val="00557606"/>
    <w:rsid w:val="00565011"/>
    <w:rsid w:val="00566B27"/>
    <w:rsid w:val="0057034D"/>
    <w:rsid w:val="00574FE4"/>
    <w:rsid w:val="00591C58"/>
    <w:rsid w:val="005A0CEE"/>
    <w:rsid w:val="005A0EB9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0B58"/>
    <w:rsid w:val="006241F3"/>
    <w:rsid w:val="00641AE3"/>
    <w:rsid w:val="00643B23"/>
    <w:rsid w:val="0065006C"/>
    <w:rsid w:val="00664D2B"/>
    <w:rsid w:val="006749E6"/>
    <w:rsid w:val="00683E9A"/>
    <w:rsid w:val="00694289"/>
    <w:rsid w:val="006A04E2"/>
    <w:rsid w:val="006A49C3"/>
    <w:rsid w:val="006A4F67"/>
    <w:rsid w:val="006C1C83"/>
    <w:rsid w:val="006D0C60"/>
    <w:rsid w:val="006D550C"/>
    <w:rsid w:val="006E5D15"/>
    <w:rsid w:val="0071570D"/>
    <w:rsid w:val="007171A0"/>
    <w:rsid w:val="00727537"/>
    <w:rsid w:val="00736DEE"/>
    <w:rsid w:val="007441AB"/>
    <w:rsid w:val="0076004D"/>
    <w:rsid w:val="00765D85"/>
    <w:rsid w:val="00770AC6"/>
    <w:rsid w:val="00781806"/>
    <w:rsid w:val="0078296A"/>
    <w:rsid w:val="00790F33"/>
    <w:rsid w:val="00796ED1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9CF"/>
    <w:rsid w:val="007E1B6A"/>
    <w:rsid w:val="007E2005"/>
    <w:rsid w:val="007F436F"/>
    <w:rsid w:val="007F53B4"/>
    <w:rsid w:val="007F7068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44C2D"/>
    <w:rsid w:val="008550AE"/>
    <w:rsid w:val="00862DA4"/>
    <w:rsid w:val="00874CBA"/>
    <w:rsid w:val="00880BD2"/>
    <w:rsid w:val="008853B0"/>
    <w:rsid w:val="00894C11"/>
    <w:rsid w:val="0089563B"/>
    <w:rsid w:val="008A3058"/>
    <w:rsid w:val="008C54E3"/>
    <w:rsid w:val="008D1189"/>
    <w:rsid w:val="008D6A9D"/>
    <w:rsid w:val="008E19EC"/>
    <w:rsid w:val="008E7550"/>
    <w:rsid w:val="008F1F9D"/>
    <w:rsid w:val="008F53EF"/>
    <w:rsid w:val="009045CD"/>
    <w:rsid w:val="00905C09"/>
    <w:rsid w:val="00920B63"/>
    <w:rsid w:val="00942CB9"/>
    <w:rsid w:val="009434CF"/>
    <w:rsid w:val="00955487"/>
    <w:rsid w:val="0096088E"/>
    <w:rsid w:val="00967EEB"/>
    <w:rsid w:val="00972CF5"/>
    <w:rsid w:val="0097492D"/>
    <w:rsid w:val="00980042"/>
    <w:rsid w:val="009830F7"/>
    <w:rsid w:val="00987A48"/>
    <w:rsid w:val="00987F39"/>
    <w:rsid w:val="00990940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264E6"/>
    <w:rsid w:val="00A313A3"/>
    <w:rsid w:val="00A445E8"/>
    <w:rsid w:val="00A47384"/>
    <w:rsid w:val="00A61108"/>
    <w:rsid w:val="00A66D65"/>
    <w:rsid w:val="00A85799"/>
    <w:rsid w:val="00A928D7"/>
    <w:rsid w:val="00AB656D"/>
    <w:rsid w:val="00AC2079"/>
    <w:rsid w:val="00AC4D90"/>
    <w:rsid w:val="00AD2756"/>
    <w:rsid w:val="00AD418A"/>
    <w:rsid w:val="00AF08E6"/>
    <w:rsid w:val="00B04A93"/>
    <w:rsid w:val="00B04BBB"/>
    <w:rsid w:val="00B10520"/>
    <w:rsid w:val="00B22204"/>
    <w:rsid w:val="00B262EE"/>
    <w:rsid w:val="00B31D14"/>
    <w:rsid w:val="00B32C7E"/>
    <w:rsid w:val="00B348DA"/>
    <w:rsid w:val="00B4297E"/>
    <w:rsid w:val="00B55166"/>
    <w:rsid w:val="00B71765"/>
    <w:rsid w:val="00B73754"/>
    <w:rsid w:val="00B83BEA"/>
    <w:rsid w:val="00B863BC"/>
    <w:rsid w:val="00BA1F0D"/>
    <w:rsid w:val="00BA765F"/>
    <w:rsid w:val="00BB0C5D"/>
    <w:rsid w:val="00BB7716"/>
    <w:rsid w:val="00BC172E"/>
    <w:rsid w:val="00BC516F"/>
    <w:rsid w:val="00BD60DA"/>
    <w:rsid w:val="00BE30E8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254"/>
    <w:rsid w:val="00C4781F"/>
    <w:rsid w:val="00C50CE7"/>
    <w:rsid w:val="00C520F4"/>
    <w:rsid w:val="00C63ACA"/>
    <w:rsid w:val="00C645B8"/>
    <w:rsid w:val="00C65779"/>
    <w:rsid w:val="00C9079F"/>
    <w:rsid w:val="00C936F6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DDF"/>
    <w:rsid w:val="00D2452E"/>
    <w:rsid w:val="00D271EE"/>
    <w:rsid w:val="00D3534F"/>
    <w:rsid w:val="00D474DB"/>
    <w:rsid w:val="00D56E6F"/>
    <w:rsid w:val="00D60334"/>
    <w:rsid w:val="00D76B03"/>
    <w:rsid w:val="00D778AB"/>
    <w:rsid w:val="00D80F8A"/>
    <w:rsid w:val="00D84CA4"/>
    <w:rsid w:val="00D879AF"/>
    <w:rsid w:val="00DB3CB8"/>
    <w:rsid w:val="00DB7325"/>
    <w:rsid w:val="00DC583A"/>
    <w:rsid w:val="00DD2DFA"/>
    <w:rsid w:val="00DD791F"/>
    <w:rsid w:val="00DE40E3"/>
    <w:rsid w:val="00DE6E97"/>
    <w:rsid w:val="00DF4BC5"/>
    <w:rsid w:val="00DF57BF"/>
    <w:rsid w:val="00E1138F"/>
    <w:rsid w:val="00E25217"/>
    <w:rsid w:val="00E33855"/>
    <w:rsid w:val="00E53553"/>
    <w:rsid w:val="00E53742"/>
    <w:rsid w:val="00E54FE2"/>
    <w:rsid w:val="00E65BD7"/>
    <w:rsid w:val="00E7373B"/>
    <w:rsid w:val="00E8171C"/>
    <w:rsid w:val="00E87041"/>
    <w:rsid w:val="00E90243"/>
    <w:rsid w:val="00ED060B"/>
    <w:rsid w:val="00ED2BFA"/>
    <w:rsid w:val="00ED43D9"/>
    <w:rsid w:val="00ED51D2"/>
    <w:rsid w:val="00EE7249"/>
    <w:rsid w:val="00EE78F6"/>
    <w:rsid w:val="00EF4580"/>
    <w:rsid w:val="00F17F6E"/>
    <w:rsid w:val="00F23A4C"/>
    <w:rsid w:val="00F25E6B"/>
    <w:rsid w:val="00F344A3"/>
    <w:rsid w:val="00F36221"/>
    <w:rsid w:val="00F54C4C"/>
    <w:rsid w:val="00F55D3A"/>
    <w:rsid w:val="00F57658"/>
    <w:rsid w:val="00F6151B"/>
    <w:rsid w:val="00F6328A"/>
    <w:rsid w:val="00F80B03"/>
    <w:rsid w:val="00F83938"/>
    <w:rsid w:val="00FA2EE7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132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B4AA-5FC4-43F5-8133-5153B5ED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765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18</cp:revision>
  <cp:lastPrinted>2018-10-09T13:34:00Z</cp:lastPrinted>
  <dcterms:created xsi:type="dcterms:W3CDTF">2020-06-04T10:45:00Z</dcterms:created>
  <dcterms:modified xsi:type="dcterms:W3CDTF">2020-07-01T09:59:00Z</dcterms:modified>
</cp:coreProperties>
</file>