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17" w:rsidRDefault="00F37E17">
      <w:pPr>
        <w:pStyle w:val="Adreszwrotnynakopercie"/>
        <w:jc w:val="center"/>
        <w:rPr>
          <w:rFonts w:ascii="Tahoma" w:hAnsi="Tahoma" w:cs="Tahoma"/>
          <w:b/>
          <w:sz w:val="20"/>
        </w:rPr>
      </w:pPr>
    </w:p>
    <w:p w:rsidR="00F37E17" w:rsidRPr="00F234C4" w:rsidRDefault="00D65CFC">
      <w:pPr>
        <w:pStyle w:val="Adreszwrotnynakopercie"/>
        <w:jc w:val="center"/>
        <w:rPr>
          <w:rFonts w:ascii="Tahoma" w:hAnsi="Tahoma" w:cs="Tahoma"/>
          <w:b/>
          <w:sz w:val="22"/>
          <w:szCs w:val="22"/>
        </w:rPr>
      </w:pPr>
      <w:r w:rsidRPr="00F234C4">
        <w:rPr>
          <w:rFonts w:ascii="Tahoma" w:hAnsi="Tahoma" w:cs="Tahoma"/>
          <w:b/>
          <w:sz w:val="22"/>
          <w:szCs w:val="22"/>
        </w:rPr>
        <w:t>FORMULARZ ASORTYMENTOWY</w:t>
      </w:r>
      <w:r w:rsidR="008570CA" w:rsidRPr="00F234C4">
        <w:rPr>
          <w:rFonts w:ascii="Tahoma" w:hAnsi="Tahoma" w:cs="Tahoma"/>
          <w:b/>
          <w:sz w:val="22"/>
          <w:szCs w:val="22"/>
        </w:rPr>
        <w:t xml:space="preserve"> </w:t>
      </w:r>
    </w:p>
    <w:p w:rsidR="00F37E17" w:rsidRDefault="00F37E17">
      <w:pPr>
        <w:pStyle w:val="Adreszwrotnynakopercie"/>
        <w:jc w:val="center"/>
        <w:rPr>
          <w:rFonts w:ascii="Tahoma" w:hAnsi="Tahoma" w:cs="Tahoma"/>
          <w:b/>
          <w:sz w:val="20"/>
        </w:rPr>
      </w:pPr>
    </w:p>
    <w:p w:rsidR="00F37E17" w:rsidRDefault="00F37E17">
      <w:pPr>
        <w:pStyle w:val="Adreszwrotnynakopercie"/>
        <w:jc w:val="center"/>
        <w:rPr>
          <w:rFonts w:ascii="Tahoma" w:hAnsi="Tahoma" w:cs="Tahoma"/>
          <w:i/>
          <w:sz w:val="20"/>
        </w:rPr>
      </w:pPr>
    </w:p>
    <w:p w:rsidR="00F37E17" w:rsidRDefault="00F37E17"/>
    <w:tbl>
      <w:tblPr>
        <w:tblW w:w="10520" w:type="dxa"/>
        <w:tblInd w:w="-20" w:type="dxa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6255"/>
        <w:gridCol w:w="1264"/>
        <w:gridCol w:w="1404"/>
        <w:gridCol w:w="1151"/>
      </w:tblGrid>
      <w:tr w:rsidR="00F37E17">
        <w:trPr>
          <w:trHeight w:val="588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F37E17" w:rsidRDefault="008570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F37E17" w:rsidRDefault="008570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F37E17" w:rsidRDefault="008570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Numer tabeli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F37E17" w:rsidRDefault="008570C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Numer pozycji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37E17" w:rsidRDefault="00F234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8570C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lość zestawów</w:t>
            </w:r>
            <w:r w:rsidR="008570C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br/>
              <w:t>w szt.</w:t>
            </w:r>
          </w:p>
        </w:tc>
      </w:tr>
      <w:tr w:rsidR="00F37E17">
        <w:trPr>
          <w:trHeight w:val="397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37E17" w:rsidRDefault="008570C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37E17" w:rsidRDefault="008570CA">
            <w:pPr>
              <w:spacing w:after="0" w:line="240" w:lineRule="auto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Pakiet biurowy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37E17" w:rsidRDefault="008570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37E17" w:rsidRDefault="008570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7E17" w:rsidRDefault="008570CA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262</w:t>
            </w:r>
          </w:p>
        </w:tc>
      </w:tr>
      <w:tr w:rsidR="00F37E17">
        <w:trPr>
          <w:trHeight w:val="397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37E17" w:rsidRDefault="008570CA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7E17" w:rsidRDefault="008570CA">
            <w:pPr>
              <w:spacing w:after="0" w:line="240" w:lineRule="auto"/>
            </w:pPr>
            <w:r>
              <w:rPr>
                <w:b/>
                <w:color w:val="000000"/>
                <w:sz w:val="20"/>
                <w:szCs w:val="20"/>
              </w:rPr>
              <w:t>Upgrade systemu operacyjnego Windows 7 Professional OEM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37E17" w:rsidRDefault="008570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37E17" w:rsidRDefault="008570C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7E17" w:rsidRDefault="008570CA">
            <w:pPr>
              <w:snapToGri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F37E17">
        <w:trPr>
          <w:trHeight w:val="397"/>
        </w:trPr>
        <w:tc>
          <w:tcPr>
            <w:tcW w:w="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37E17" w:rsidRDefault="008570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37E17" w:rsidRDefault="008570C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Dysk do pracy ciągłej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37E17" w:rsidRDefault="008570C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37E17" w:rsidRDefault="008570C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7E17" w:rsidRDefault="008570CA">
            <w:pPr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</w:tr>
      <w:tr w:rsidR="00F37E17">
        <w:trPr>
          <w:trHeight w:val="397"/>
        </w:trPr>
        <w:tc>
          <w:tcPr>
            <w:tcW w:w="4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37E17" w:rsidRDefault="008570C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37E17" w:rsidRDefault="008570C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Dysk SSD</w:t>
            </w:r>
          </w:p>
        </w:tc>
        <w:tc>
          <w:tcPr>
            <w:tcW w:w="12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37E17" w:rsidRDefault="008570C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F37E17" w:rsidRDefault="008570C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7E17" w:rsidRDefault="008570CA">
            <w:pPr>
              <w:snapToGrid w:val="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</w:tbl>
    <w:p w:rsidR="00F37E17" w:rsidRDefault="00F37E17">
      <w:pPr>
        <w:sectPr w:rsidR="00F37E17">
          <w:footerReference w:type="default" r:id="rId9"/>
          <w:pgSz w:w="11906" w:h="16838"/>
          <w:pgMar w:top="720" w:right="720" w:bottom="720" w:left="720" w:header="0" w:footer="432" w:gutter="0"/>
          <w:cols w:space="708"/>
          <w:formProt w:val="0"/>
          <w:docGrid w:linePitch="360"/>
        </w:sectPr>
      </w:pPr>
    </w:p>
    <w:p w:rsidR="00F37E17" w:rsidRDefault="008570CA">
      <w:pPr>
        <w:spacing w:after="36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lastRenderedPageBreak/>
        <w:t>Szczegółowy opis przedmiotu zamówienia</w:t>
      </w:r>
    </w:p>
    <w:p w:rsidR="00F37E17" w:rsidRDefault="008570CA">
      <w:pPr>
        <w:rPr>
          <w:b/>
        </w:rPr>
      </w:pPr>
      <w:r>
        <w:rPr>
          <w:b/>
        </w:rPr>
        <w:t>Tabela nr 1</w:t>
      </w:r>
    </w:p>
    <w:tbl>
      <w:tblPr>
        <w:tblW w:w="11634" w:type="dxa"/>
        <w:tblInd w:w="-20" w:type="dxa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2125"/>
        <w:gridCol w:w="4963"/>
        <w:gridCol w:w="3689"/>
      </w:tblGrid>
      <w:tr w:rsidR="00F234C4" w:rsidTr="00354B12">
        <w:trPr>
          <w:trHeight w:val="352"/>
        </w:trPr>
        <w:tc>
          <w:tcPr>
            <w:tcW w:w="11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234C4" w:rsidRDefault="00F234C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Oprogramowanie</w:t>
            </w:r>
          </w:p>
        </w:tc>
      </w:tr>
      <w:tr w:rsidR="00F37E17" w:rsidTr="00610917">
        <w:trPr>
          <w:trHeight w:val="292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F37E17" w:rsidRDefault="008570C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F37E17" w:rsidRDefault="008570C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Opis parametru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F37E17" w:rsidRDefault="008570C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Minimalne parametry wymagane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984D47" w:rsidRDefault="008570CA" w:rsidP="00984D4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Parametry oferowane przez Wykonawcę</w:t>
            </w:r>
            <w:r w:rsidR="00984D47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F37E17" w:rsidRDefault="00984D47" w:rsidP="00984D47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(do wypełnienia przez Wykonawcę)</w:t>
            </w:r>
          </w:p>
        </w:tc>
      </w:tr>
      <w:tr w:rsidR="00F37E17" w:rsidTr="00610917">
        <w:trPr>
          <w:trHeight w:val="251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Pakiet biurowy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 w:rsidP="00F234C4">
            <w:pPr>
              <w:spacing w:line="240" w:lineRule="auto"/>
            </w:pPr>
            <w:r w:rsidRPr="008570CA">
              <w:rPr>
                <w:b/>
                <w:color w:val="000000"/>
                <w:sz w:val="20"/>
                <w:szCs w:val="20"/>
              </w:rPr>
              <w:t xml:space="preserve">Microsoft Office 2019 Home &amp; </w:t>
            </w:r>
            <w:proofErr w:type="spellStart"/>
            <w:r w:rsidRPr="008570CA">
              <w:rPr>
                <w:b/>
                <w:color w:val="000000"/>
                <w:sz w:val="20"/>
                <w:szCs w:val="20"/>
              </w:rPr>
              <w:t>Bussiness</w:t>
            </w:r>
            <w:proofErr w:type="spellEnd"/>
            <w:r w:rsidRPr="008570CA">
              <w:rPr>
                <w:b/>
                <w:color w:val="000000"/>
                <w:sz w:val="20"/>
                <w:szCs w:val="20"/>
              </w:rPr>
              <w:t xml:space="preserve"> ESD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Dopuszczalne jest zastosowanie równoważnego pakietu biurowego w zakresie wyszczególnionym w pozycji 1.2- Zakres równoważności dla pakietu biurowego Microsoft Office 2019.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F37E1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37E17" w:rsidTr="00610917">
        <w:trPr>
          <w:trHeight w:val="310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7E17" w:rsidRDefault="008570C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7E17" w:rsidRDefault="008570CA">
            <w:r>
              <w:rPr>
                <w:b/>
                <w:color w:val="000000"/>
                <w:sz w:val="20"/>
                <w:szCs w:val="20"/>
              </w:rPr>
              <w:t xml:space="preserve">Zakres równoważności dla pakietu biurowego Microsoft Office 2019 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7E17" w:rsidRDefault="000519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(do wypełnienia  - jeżeli dotyczy)</w:t>
            </w:r>
          </w:p>
        </w:tc>
      </w:tr>
      <w:tr w:rsidR="00F37E17" w:rsidTr="00610917">
        <w:trPr>
          <w:trHeight w:val="1134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Funkcje wspólne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a) wymagania Zamawiającego dla interfejsu użytkownika: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pełna polska wersja językowa interfejsu użytkownika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integracja uwierzytelniania użytkowników z usługą katalogową Microsoft Active Directory – użytkownik raz zalogowany z poziomu systemu operacyjnego stacji roboczej ma być automatycznie rozpoznawany we wszystkich modułach oferowanego rozwiązania bez potrzeby oddzielnego monitowania go o ponowne uwierzytelnienie się.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b) wykorzystanie tej samej licencji na komputerze stacjonarnym oraz w środowisku terminalowym Zamawiającego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c) automatyczna instalacja komponentów (przy użyciu instalatora systemowego),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d) zdalna instalacja pakietu poprzez zasady grup (GPO),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e) całkowicie zlokalizowany w języku polskim system komunikatów i podręcznej pomocy technicznej w pakiecie,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f) prawo do (w okresie przynajmniej 5 lat) instalacji udostępnianych przez producenta poprawek w ramach wynagrodzenia.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g) Wsparcie dla formatu XML,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h) funkcjonalność pozwalająca na nadawania uprawnień do modyfikacji dokumentów tworzonych za pomocą aplikacji wchodzących w skład pakietów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i) automatyczne wypisywanie hiperłączy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j) funkcja automatycznego odświeżania danych pochodzących z Internetu w arkuszach kalkulacyjnych,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k) funkcjonalność pozwalająca na dodawania do dokumentów i arkuszy kalkulacyjnych podpisów cyfrowych, pozwalających na stwierdzenie czy dany dokument/arkusz pochodzi z bezpiecznego źródła i nie został w żaden sposób zmieniony,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l) automatyczne odzyskiwanie dokumentów i arkuszy kalkulacyjnych w wypadku nieoczekiwanego zamknięcia aplikacji spowodowanego zanikiem prądu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m) prawidłowe odczytywanie i zapisywanie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danych w dokumentach w formatach .DOC, .DOCX, XLS, .XLSX, .PPT, .PPTX, w tym obsługa formatowania, makr, formuł, formularzy w plikach wytworzonych w MS Office 2007 i MS Office 2010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F37E1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37E17" w:rsidTr="00610917">
        <w:trPr>
          <w:trHeight w:val="1134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Tworzenie i edycja dokumentów elektronicznych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a) tworzenie i edycja dokumentów elektronicznych w formacie, który spełnia następujące warunki: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posiada kompletny i publicznie dostępny opis formatu,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− ma zdefiniowany układ informacji w postaci XML zgodnie z Tabelą B1 załącznika 2 Rozporządzenia w sprawie Krajowych Ram Interoperacyjności, minimalnych wymagań dla rejestrów publicznych i wymiany informacji w +postaci elektronicznej oraz minimalnych wymagań dla systemów teleinformatycznych (Dz.U. 2017 poz. 2247).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umożliwia wykorzystanie schematów XML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wspiera w swojej specyfikacji podpis elektroniczny zgodnie z Tabelą A.1.1 załącznika 2 Rozporządzenia w sprawie Krajowych Ram Interoperacyjności, minimalnych wymagań dla rejestrów publicznych i wymiany informacji w postaci elektronicznej oraz minimalnych wymagań dla systemów teleinformatycznych (Dz.U. 2017 poz. 2247).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b) zawiera narzędzia programistyczne umożliwiające automatyzację pracy i wymianę danych pomiędzy dokumentami i aplikacjami (język makropoleceń, język skryptowy)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c) Umożliwia tworzenie drukowanych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materiałów informacyjnych poprzez: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Tworzenie i edycję drukowanych materiałów informacyjnych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Tworzenie materiałów przy użyciu dostępnych z narzędziem szablonów: broszur, biuletynów, katalogów.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Edycję poszczególnych stron materiałów.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Podział treści na kolumny.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Umieszczanie elementów graficznych.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Wykorzystanie mechanizmu korespondencji seryjnej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Płynne przesuwanie elementów po całej stronie publikacji.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Eksport publikacji do formatu PDF oraz TIFF.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Wydruk publikacji. 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F37E1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37E17" w:rsidTr="00F234C4">
        <w:trPr>
          <w:trHeight w:val="888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1.2.3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Wymagania dla edytora tekstów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Edycja i formatowanie tekstu w języku polskim wraz z obsługą języka polskiego w zakresie sprawdzania pisowni i poprawności gramatycznej oraz funkcjonalnością słownika wyrazów bliskoznacznych i autokorekty;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Wstawianie oraz formatowanie tabel;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Wstawianie oraz formatowanie obiektów graficznych;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Wstawianie wykresów i tabel z arkusza kalkulacyjnego (wliczając tabele przestawne);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Automatyczne numerowanie rozdziałów,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punktów, akapitów, tabel i rysunków;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Automatyczne tworzenie spisów treści;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Formatowanie nagłówków i stopek stron;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Śledzenie zmian wprowadzonych przez użytkowników; 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Nagrywanie, tworzenie i edycję makr automatyzujących wykonywanie czynności;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Określenie układu strony (pionowa/pozioma);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Wydruk dokumentów;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Pracę na dokumentach utworzonych przy pomocy Microsoft Word 2007 i 2010 z zapewnieniem bezproblemowej konwersji wszystkich elementów i atrybutów dokumentu;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Zabezpieczenie dokumentów hasłem przed odczytem oraz przed wprowadzaniem modyfikacji;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Wymagana jest dostępność do oferowanego edytora tekstu narzędzi umożliwiających wykorzystanie go, jako środowiska udostępniającego formularze i pozwalające zapisać plik wynikowy w zgodzie z Rozporządzeniem o Aktach Normatywnych i Prawnych.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Wymagana jest zgodność z szablonami udostępnianymi przez Rządowe Centrum Legislacji, zawierającymi zestaw stylów wykorzystywanych do formatowania projektów aktów prawnych oraz makroinstrukcji służących w szczególności automatyzacji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stosowania stylów, jak również weryfikacji niektórych nieprawidłowości przy redagowaniu aktu prawnego.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F37E1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37E17" w:rsidTr="00610917">
        <w:trPr>
          <w:trHeight w:val="1134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Wymagania dla arkusza kalkulacyjnego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Tworzenie raportów tabelarycznych;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Tworzenie wykresów liniowych (wraz z linią trendu), słupkowych, kołowych;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Tworzenie arkuszy kalkulacyjnych zawierających teksty, dane liczbowe oraz formuły przeprowadzające operacje matematyczne, logiczne, tekstowe, statystyczne oraz operacje na danych finansowych i na miarach czasu;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Tworzenie raportów z zewnętrznych źródeł danych (inne arkusze kalkulacyjne, bazy danych zgodne z ODBC, pliki tekstowe, pliki XML,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webservice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);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Obsługę kostek OLAP oraz tworzenie i edycję kwerend bazodanowych i webowych. Narzędzia wspomagające analizę statystyczną i finansową, analizę wariantową i rozwiązywanie problemów optymalizacyjnych;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Tworzenie raportów tabeli przestawnych umożliwiających dynamiczną zmianę wymiarów oraz wykresów bazujących na danych z tabeli przestawnych;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Wyszukiwanie i zamianę danych;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Wykonywanie analiz danych przy użyciu formatowania warunkowego;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Nazywanie komórek arkusza i odwoływanie się w formułach po takiej nazwie;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− Nagrywanie, tworzenie i edycję makr automatyzujących wykonywanie czynności;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Formatowanie czasu, daty i wartości finansowych z polskim formatem;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Zapis wielu arkuszy kalkulacyjnych w jednym pliku;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Zachowanie pełnej zgodności z formatami plików utworzonych za pomocą oprogramowania Microsoft Excel 2007 i 2010, z uwzględnieniem poprawnej realizacji użytych w nich funkcji specjalnych i makropoleceń;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− Zabezpieczenie dokumentów hasłem przed odczytem oraz przed wprowadzaniem modyfikacji</w:t>
            </w:r>
            <w:r>
              <w:rPr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F37E1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37E17" w:rsidTr="00610917">
        <w:trPr>
          <w:trHeight w:val="1134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Wymagania dla narzędzie do przygotowywania i prowadzenia prezentacji multimedialnych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Drukowanie w formacie umożliwiającym robienie notatek;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− Zapisanie jako prezentacja tylko do odczytu;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Nagrywanie narracji i dołączanie jej do prezentacji;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Opatrywanie slajdów notatkami dla prezentera;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Umieszczanie i formatowanie tekstów, obiektów graficznych, tabel, nagrań dźwiękowych i wideo;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Umieszczanie tabel i wykresów pochodzących z arkusza kalkulacyjnego;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Odświeżenie wykresu znajdującego się w prezentacji po zmianie danych w źródłowym arkuszu kalkulacyjnym;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− Tworzenie animacji obiektów i całych slajdów;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− Prowadzenie prezentacji w trybie prezentera, gdzie slajdy są widoczne na jednym monitorze lub projektorze, a na drugim widoczne są slajdy i notatki prezentera;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− Zapewniających zgodność z formatami plików utworzonych za pomocą oprogramowania MS PowerPoint 2007 i 2010.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F37E1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37E17" w:rsidTr="00610917">
        <w:trPr>
          <w:trHeight w:val="1134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1.2.6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Wymagane szkolenia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 przypadku zaoferowania oprogramowania równoważnego względ</w:t>
            </w:r>
            <w:r w:rsidR="00E61351">
              <w:rPr>
                <w:b/>
                <w:color w:val="000000"/>
                <w:sz w:val="20"/>
                <w:szCs w:val="20"/>
              </w:rPr>
              <w:t>em pakietu Microsoft Office 2019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</w:p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Sprzedający zobowiązany jest do przeprowadzenia szkoleń dla pracowników Kupującego w zakresie obsługi zaoferowanego pakietu biurowego. Szkolenia zostaną przeprowadzone dla liczby pracowników odpowiadającej liczbie zakupionych licencji w wymiarze minimum 6 godzin zegarowych, oraz 12 godzin zegarowych dla jednej grupy administratorów i pracowników pomocy technicznej. Szkolenia odbędą się w siedzibie Zamawiającego w grupach po max. 10 osób.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F37E1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37E17" w:rsidTr="00610917">
        <w:trPr>
          <w:trHeight w:val="618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1.2.7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Zgodność z infrastrukturą Zamawiającego</w:t>
            </w:r>
          </w:p>
          <w:p w:rsidR="00F37E17" w:rsidRDefault="00F37E17">
            <w:pPr>
              <w:ind w:firstLine="708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W przypadku, gdy zaoferowane przez Wykonawcę 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niezbędnych modyfikacji przywracających właściwe działanie środowiska sprzętowo-programowego Zamawiającego również po odinstalowaniu oprogramowania.</w:t>
            </w:r>
            <w:r>
              <w:rPr>
                <w:b/>
                <w:color w:val="000000"/>
                <w:sz w:val="20"/>
                <w:szCs w:val="20"/>
              </w:rPr>
              <w:tab/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F37E1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610917" w:rsidTr="00A329BF">
        <w:trPr>
          <w:trHeight w:val="618"/>
        </w:trPr>
        <w:tc>
          <w:tcPr>
            <w:tcW w:w="116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10917" w:rsidRDefault="0061091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bidi="hi-IN"/>
              </w:rPr>
              <w:lastRenderedPageBreak/>
              <w:t>System operacyjny</w:t>
            </w:r>
          </w:p>
        </w:tc>
      </w:tr>
      <w:tr w:rsidR="00F37E17" w:rsidRPr="00E61351" w:rsidTr="00F234C4">
        <w:trPr>
          <w:trHeight w:val="1040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7E17" w:rsidRDefault="008570CA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7E17" w:rsidRDefault="008570CA">
            <w:pPr>
              <w:spacing w:after="0" w:line="240" w:lineRule="auto"/>
            </w:pPr>
            <w:r>
              <w:rPr>
                <w:b/>
                <w:color w:val="000000"/>
                <w:sz w:val="20"/>
                <w:szCs w:val="20"/>
              </w:rPr>
              <w:t>Upgrade systemu operacyjnego Windows 7 Professional OEM</w:t>
            </w:r>
          </w:p>
        </w:tc>
        <w:tc>
          <w:tcPr>
            <w:tcW w:w="4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7E17" w:rsidRPr="008570CA" w:rsidRDefault="0071626C">
            <w:pPr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Upgrade </w:t>
            </w:r>
            <w:proofErr w:type="spellStart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dla</w:t>
            </w:r>
            <w:proofErr w:type="spellEnd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systemu</w:t>
            </w:r>
            <w:proofErr w:type="spellEnd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 Windows 7 Professional OEM do </w:t>
            </w:r>
            <w:proofErr w:type="spellStart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wersji</w:t>
            </w:r>
            <w:proofErr w:type="spellEnd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 10 Professional, w </w:t>
            </w:r>
            <w:proofErr w:type="spellStart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przypadku</w:t>
            </w:r>
            <w:proofErr w:type="spellEnd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braku</w:t>
            </w:r>
            <w:proofErr w:type="spellEnd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możliwości</w:t>
            </w:r>
            <w:proofErr w:type="spellEnd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upgreade’u</w:t>
            </w:r>
            <w:proofErr w:type="spellEnd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systemu</w:t>
            </w:r>
            <w:proofErr w:type="spellEnd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możliwe</w:t>
            </w:r>
            <w:proofErr w:type="spellEnd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 jest </w:t>
            </w:r>
            <w:proofErr w:type="spellStart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zaoferowanie</w:t>
            </w:r>
            <w:proofErr w:type="spellEnd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nowych</w:t>
            </w:r>
            <w:proofErr w:type="spellEnd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>
              <w:rPr>
                <w:rFonts w:eastAsia="NSimSun"/>
                <w:b/>
                <w:color w:val="000000"/>
                <w:kern w:val="2"/>
                <w:sz w:val="20"/>
                <w:szCs w:val="20"/>
                <w:lang w:val="en-US" w:bidi="hi-IN"/>
              </w:rPr>
              <w:t>licencji</w:t>
            </w:r>
            <w:bookmarkStart w:id="0" w:name="_GoBack"/>
            <w:bookmarkEnd w:id="0"/>
            <w:proofErr w:type="spellEnd"/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7E17" w:rsidRPr="008570CA" w:rsidRDefault="00F37E17">
            <w:pPr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8570CA" w:rsidRPr="008570CA" w:rsidRDefault="008570CA" w:rsidP="00F234C4">
      <w:pPr>
        <w:spacing w:line="240" w:lineRule="auto"/>
        <w:rPr>
          <w:b/>
          <w:color w:val="000000"/>
          <w:sz w:val="20"/>
          <w:szCs w:val="20"/>
          <w:lang w:val="en-US"/>
        </w:rPr>
      </w:pPr>
    </w:p>
    <w:p w:rsidR="00F37E17" w:rsidRDefault="008570CA" w:rsidP="00F234C4">
      <w:pPr>
        <w:spacing w:line="240" w:lineRule="auto"/>
      </w:pPr>
      <w:r>
        <w:rPr>
          <w:b/>
        </w:rPr>
        <w:t>Tabela nr 2</w:t>
      </w:r>
    </w:p>
    <w:tbl>
      <w:tblPr>
        <w:tblW w:w="11634" w:type="dxa"/>
        <w:tblInd w:w="-20" w:type="dxa"/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2124"/>
        <w:gridCol w:w="4963"/>
        <w:gridCol w:w="3689"/>
      </w:tblGrid>
      <w:tr w:rsidR="00F37E17">
        <w:trPr>
          <w:trHeight w:val="352"/>
        </w:trPr>
        <w:tc>
          <w:tcPr>
            <w:tcW w:w="7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F37E17" w:rsidRDefault="008570CA" w:rsidP="00F234C4">
            <w:pPr>
              <w:spacing w:line="240" w:lineRule="auto"/>
            </w:pPr>
            <w:r>
              <w:rPr>
                <w:b/>
                <w:color w:val="000000"/>
                <w:sz w:val="20"/>
                <w:szCs w:val="20"/>
              </w:rPr>
              <w:t>Akcesoria komputerowe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F37E17" w:rsidRDefault="00F37E17" w:rsidP="00F234C4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F37E17">
        <w:trPr>
          <w:trHeight w:val="292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F37E17" w:rsidRDefault="008570CA" w:rsidP="00F234C4">
            <w:pPr>
              <w:spacing w:line="240" w:lineRule="auto"/>
            </w:pPr>
            <w:r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F37E17" w:rsidRDefault="008570CA" w:rsidP="00F234C4">
            <w:pPr>
              <w:spacing w:line="240" w:lineRule="auto"/>
            </w:pPr>
            <w:r>
              <w:rPr>
                <w:b/>
                <w:color w:val="000000"/>
                <w:sz w:val="20"/>
                <w:szCs w:val="20"/>
              </w:rPr>
              <w:t>Opis parametru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F37E17" w:rsidRDefault="008570CA" w:rsidP="00F234C4">
            <w:pPr>
              <w:spacing w:line="240" w:lineRule="auto"/>
            </w:pPr>
            <w:r>
              <w:rPr>
                <w:b/>
                <w:color w:val="000000"/>
                <w:sz w:val="20"/>
                <w:szCs w:val="20"/>
              </w:rPr>
              <w:t>Minimalne parametry wymagane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1D0711" w:rsidRDefault="008570CA" w:rsidP="00F234C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Parametry oferowane przez Wykonawcę</w:t>
            </w:r>
            <w:r w:rsidR="001D0711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F37E17" w:rsidRDefault="001D0711" w:rsidP="00F234C4">
            <w:pPr>
              <w:spacing w:after="0" w:line="240" w:lineRule="auto"/>
            </w:pPr>
            <w:r>
              <w:rPr>
                <w:b/>
                <w:color w:val="000000"/>
                <w:sz w:val="20"/>
                <w:szCs w:val="20"/>
              </w:rPr>
              <w:t>(do wypełnienia przez Wykonawcę)</w:t>
            </w:r>
          </w:p>
        </w:tc>
      </w:tr>
      <w:tr w:rsidR="00F37E17">
        <w:trPr>
          <w:trHeight w:val="251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>
            <w:r>
              <w:rPr>
                <w:b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>
            <w:r>
              <w:rPr>
                <w:b/>
                <w:color w:val="000000"/>
                <w:sz w:val="20"/>
                <w:szCs w:val="20"/>
              </w:rPr>
              <w:t>Dysk do pracy ciągłej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 w:rsidP="00F234C4">
            <w:pPr>
              <w:numPr>
                <w:ilvl w:val="0"/>
                <w:numId w:val="1"/>
              </w:numPr>
              <w:spacing w:line="240" w:lineRule="auto"/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Dysk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HDD SATA 3,5”</w:t>
            </w:r>
          </w:p>
          <w:p w:rsidR="00F37E17" w:rsidRDefault="008570CA" w:rsidP="00F234C4">
            <w:pPr>
              <w:numPr>
                <w:ilvl w:val="0"/>
                <w:numId w:val="1"/>
              </w:numPr>
              <w:spacing w:line="240" w:lineRule="auto"/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Interfejs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SATAIII 6Gbps</w:t>
            </w:r>
          </w:p>
          <w:p w:rsidR="00F37E17" w:rsidRDefault="008570CA" w:rsidP="00F234C4">
            <w:pPr>
              <w:numPr>
                <w:ilvl w:val="0"/>
                <w:numId w:val="1"/>
              </w:numPr>
              <w:spacing w:line="240" w:lineRule="auto"/>
            </w:pPr>
            <w:r w:rsidRPr="008570CA">
              <w:rPr>
                <w:b/>
                <w:color w:val="000000"/>
                <w:sz w:val="20"/>
                <w:szCs w:val="20"/>
              </w:rPr>
              <w:t>Prędkość obrotowa nie mniejsza niż 7200obr/min</w:t>
            </w:r>
          </w:p>
          <w:p w:rsidR="00F37E17" w:rsidRDefault="008570CA" w:rsidP="00F234C4">
            <w:pPr>
              <w:numPr>
                <w:ilvl w:val="0"/>
                <w:numId w:val="1"/>
              </w:numPr>
              <w:spacing w:line="240" w:lineRule="auto"/>
            </w:pPr>
            <w:r w:rsidRPr="008570CA">
              <w:rPr>
                <w:b/>
                <w:color w:val="000000"/>
                <w:sz w:val="20"/>
                <w:szCs w:val="20"/>
              </w:rPr>
              <w:t xml:space="preserve">Dysk klasy </w:t>
            </w:r>
            <w:proofErr w:type="spellStart"/>
            <w:r w:rsidRPr="008570CA">
              <w:rPr>
                <w:b/>
                <w:color w:val="000000"/>
                <w:sz w:val="20"/>
                <w:szCs w:val="20"/>
              </w:rPr>
              <w:t>datacenter</w:t>
            </w:r>
            <w:proofErr w:type="spellEnd"/>
            <w:r w:rsidRPr="008570C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570CA">
              <w:rPr>
                <w:b/>
                <w:color w:val="000000"/>
                <w:sz w:val="20"/>
                <w:szCs w:val="20"/>
              </w:rPr>
              <w:t>enterprise</w:t>
            </w:r>
            <w:proofErr w:type="spellEnd"/>
            <w:r w:rsidRPr="008570CA">
              <w:rPr>
                <w:b/>
                <w:color w:val="000000"/>
                <w:sz w:val="20"/>
                <w:szCs w:val="20"/>
              </w:rPr>
              <w:t xml:space="preserve"> przystosowany do ciągłej pracy</w:t>
            </w:r>
          </w:p>
          <w:p w:rsidR="00F37E17" w:rsidRDefault="008570CA" w:rsidP="00F234C4">
            <w:pPr>
              <w:numPr>
                <w:ilvl w:val="0"/>
                <w:numId w:val="1"/>
              </w:numPr>
              <w:spacing w:line="240" w:lineRule="auto"/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Pojemność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minimum 1TB</w:t>
            </w:r>
          </w:p>
          <w:p w:rsidR="00F37E17" w:rsidRDefault="008570CA" w:rsidP="00F234C4">
            <w:pPr>
              <w:numPr>
                <w:ilvl w:val="0"/>
                <w:numId w:val="1"/>
              </w:numPr>
              <w:spacing w:line="240" w:lineRule="auto"/>
            </w:pP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Gwarancja</w:t>
            </w:r>
            <w:proofErr w:type="spellEnd"/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minimum 60 </w:t>
            </w:r>
            <w:proofErr w:type="spellStart"/>
            <w:r>
              <w:rPr>
                <w:b/>
                <w:color w:val="000000"/>
                <w:sz w:val="20"/>
                <w:szCs w:val="20"/>
                <w:lang w:val="en-US"/>
              </w:rPr>
              <w:t>miesięcy</w:t>
            </w:r>
            <w:proofErr w:type="spellEnd"/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F37E1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37E17">
        <w:trPr>
          <w:trHeight w:val="1134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>
            <w:r>
              <w:rPr>
                <w:b/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>
            <w:r>
              <w:rPr>
                <w:b/>
                <w:color w:val="000000"/>
                <w:sz w:val="20"/>
                <w:szCs w:val="20"/>
              </w:rPr>
              <w:t>Dysk SSD</w:t>
            </w:r>
          </w:p>
        </w:tc>
        <w:tc>
          <w:tcPr>
            <w:tcW w:w="4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8570CA" w:rsidP="00F234C4">
            <w:pPr>
              <w:numPr>
                <w:ilvl w:val="0"/>
                <w:numId w:val="2"/>
              </w:numPr>
              <w:spacing w:line="240" w:lineRule="auto"/>
            </w:pPr>
            <w:r>
              <w:rPr>
                <w:b/>
                <w:color w:val="000000"/>
                <w:sz w:val="20"/>
                <w:szCs w:val="20"/>
              </w:rPr>
              <w:t>Dysk SSD SATA 2,5”</w:t>
            </w:r>
          </w:p>
          <w:p w:rsidR="00F37E17" w:rsidRDefault="008570CA" w:rsidP="00F234C4">
            <w:pPr>
              <w:numPr>
                <w:ilvl w:val="0"/>
                <w:numId w:val="2"/>
              </w:numPr>
              <w:spacing w:line="240" w:lineRule="auto"/>
            </w:pPr>
            <w:r>
              <w:rPr>
                <w:b/>
                <w:color w:val="000000"/>
                <w:sz w:val="20"/>
                <w:szCs w:val="20"/>
              </w:rPr>
              <w:t>Interfejs SATAIII 6Gbps</w:t>
            </w:r>
          </w:p>
          <w:p w:rsidR="00F37E17" w:rsidRDefault="008570CA" w:rsidP="00F234C4">
            <w:pPr>
              <w:numPr>
                <w:ilvl w:val="0"/>
                <w:numId w:val="2"/>
              </w:numPr>
              <w:spacing w:line="240" w:lineRule="auto"/>
            </w:pPr>
            <w:r>
              <w:rPr>
                <w:b/>
                <w:color w:val="000000"/>
                <w:sz w:val="20"/>
                <w:szCs w:val="20"/>
              </w:rPr>
              <w:t>Rodzaj kości pamięci Flash NAND: MLC</w:t>
            </w:r>
          </w:p>
          <w:p w:rsidR="00F37E17" w:rsidRDefault="008570CA" w:rsidP="00F234C4">
            <w:pPr>
              <w:numPr>
                <w:ilvl w:val="0"/>
                <w:numId w:val="2"/>
              </w:numPr>
              <w:spacing w:line="240" w:lineRule="auto"/>
            </w:pPr>
            <w:r>
              <w:rPr>
                <w:b/>
                <w:color w:val="000000"/>
                <w:sz w:val="20"/>
                <w:szCs w:val="20"/>
              </w:rPr>
              <w:t>Minimalna szybkość odczytu: 560 MB/s</w:t>
            </w:r>
          </w:p>
          <w:p w:rsidR="00F37E17" w:rsidRDefault="008570CA" w:rsidP="00F234C4">
            <w:pPr>
              <w:numPr>
                <w:ilvl w:val="0"/>
                <w:numId w:val="2"/>
              </w:numPr>
              <w:spacing w:line="240" w:lineRule="auto"/>
            </w:pPr>
            <w:r>
              <w:rPr>
                <w:b/>
                <w:color w:val="000000"/>
                <w:sz w:val="20"/>
                <w:szCs w:val="20"/>
              </w:rPr>
              <w:t>Minimalna szybkość zapisu: 520 MB/s</w:t>
            </w:r>
          </w:p>
          <w:p w:rsidR="00F37E17" w:rsidRDefault="008570CA" w:rsidP="00F234C4">
            <w:pPr>
              <w:numPr>
                <w:ilvl w:val="0"/>
                <w:numId w:val="2"/>
              </w:numPr>
              <w:spacing w:line="240" w:lineRule="auto"/>
            </w:pPr>
            <w:r>
              <w:rPr>
                <w:b/>
                <w:color w:val="000000"/>
                <w:sz w:val="20"/>
                <w:szCs w:val="20"/>
              </w:rPr>
              <w:t>Pojemność minimum 250GB</w:t>
            </w:r>
          </w:p>
          <w:p w:rsidR="00F37E17" w:rsidRDefault="008570CA" w:rsidP="00F234C4">
            <w:pPr>
              <w:numPr>
                <w:ilvl w:val="0"/>
                <w:numId w:val="2"/>
              </w:numPr>
              <w:spacing w:line="240" w:lineRule="auto"/>
            </w:pPr>
            <w:r>
              <w:rPr>
                <w:b/>
                <w:color w:val="000000"/>
                <w:sz w:val="20"/>
                <w:szCs w:val="20"/>
              </w:rPr>
              <w:t>Gwarancja minimum 60 miesięcy</w:t>
            </w:r>
          </w:p>
        </w:tc>
        <w:tc>
          <w:tcPr>
            <w:tcW w:w="3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7E17" w:rsidRDefault="00F37E17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37E17" w:rsidRDefault="00F37E17">
      <w:pPr>
        <w:rPr>
          <w:b/>
          <w:color w:val="000000"/>
          <w:sz w:val="20"/>
          <w:szCs w:val="20"/>
        </w:rPr>
      </w:pPr>
    </w:p>
    <w:p w:rsidR="00F37E17" w:rsidRDefault="008570CA">
      <w:r>
        <w:rPr>
          <w:b/>
          <w:color w:val="000000"/>
          <w:sz w:val="20"/>
          <w:szCs w:val="20"/>
        </w:rPr>
        <w:t>* Wymagane jest aby w kolumnie „parametry oferowane przez wykonawcę” pojawiły się zapisy jednoznacznie określające, producenta, model, na podstawie których Zamawiający będzie miał możliwość weryfikacji oferty.</w:t>
      </w:r>
    </w:p>
    <w:p w:rsidR="00F37E17" w:rsidRDefault="00F37E17">
      <w:pPr>
        <w:rPr>
          <w:b/>
          <w:color w:val="000000"/>
          <w:sz w:val="20"/>
          <w:szCs w:val="20"/>
        </w:rPr>
      </w:pPr>
    </w:p>
    <w:p w:rsidR="00F37E17" w:rsidRDefault="00F37E17"/>
    <w:sectPr w:rsidR="00F37E1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2495" w:bottom="1134" w:left="277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A58" w:rsidRDefault="008570CA">
      <w:pPr>
        <w:spacing w:after="0" w:line="240" w:lineRule="auto"/>
      </w:pPr>
      <w:r>
        <w:separator/>
      </w:r>
    </w:p>
  </w:endnote>
  <w:endnote w:type="continuationSeparator" w:id="0">
    <w:p w:rsidR="00607A58" w:rsidRDefault="0085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E17" w:rsidRDefault="008570CA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1626C">
      <w:rPr>
        <w:noProof/>
      </w:rPr>
      <w:t>1</w:t>
    </w:r>
    <w:r>
      <w:fldChar w:fldCharType="end"/>
    </w:r>
  </w:p>
  <w:p w:rsidR="00F37E17" w:rsidRDefault="00F37E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E17" w:rsidRDefault="00F37E1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E17" w:rsidRDefault="00F37E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A58" w:rsidRDefault="008570CA">
      <w:pPr>
        <w:spacing w:after="0" w:line="240" w:lineRule="auto"/>
      </w:pPr>
      <w:r>
        <w:separator/>
      </w:r>
    </w:p>
  </w:footnote>
  <w:footnote w:type="continuationSeparator" w:id="0">
    <w:p w:rsidR="00607A58" w:rsidRDefault="00857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E17" w:rsidRDefault="00F37E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E17" w:rsidRDefault="00F37E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62AB5"/>
    <w:multiLevelType w:val="multilevel"/>
    <w:tmpl w:val="1B04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575C2C3F"/>
    <w:multiLevelType w:val="multilevel"/>
    <w:tmpl w:val="48A0B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E02349A"/>
    <w:multiLevelType w:val="multilevel"/>
    <w:tmpl w:val="910292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17"/>
    <w:rsid w:val="0005192F"/>
    <w:rsid w:val="001D0711"/>
    <w:rsid w:val="00607A58"/>
    <w:rsid w:val="00610917"/>
    <w:rsid w:val="0071626C"/>
    <w:rsid w:val="008570CA"/>
    <w:rsid w:val="00984D47"/>
    <w:rsid w:val="00D65CFC"/>
    <w:rsid w:val="00E61351"/>
    <w:rsid w:val="00F234C4"/>
    <w:rsid w:val="00F3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Tahoma" w:eastAsia="Calibri" w:hAnsi="Tahoma" w:cs="Tahoma"/>
      <w:color w:val="808284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Pr>
      <w:rFonts w:ascii="Tahoma" w:hAnsi="Tahoma" w:cs="Tahoma"/>
      <w:color w:val="808284"/>
      <w:sz w:val="22"/>
      <w:szCs w:val="22"/>
    </w:rPr>
  </w:style>
  <w:style w:type="character" w:customStyle="1" w:styleId="StopkaZnak">
    <w:name w:val="Stopka Znak"/>
    <w:qFormat/>
    <w:rPr>
      <w:rFonts w:ascii="Tahoma" w:hAnsi="Tahoma" w:cs="Tahoma"/>
      <w:color w:val="808284"/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color w:val="808284"/>
      <w:sz w:val="16"/>
      <w:szCs w:val="16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</w:rPr>
  </w:style>
  <w:style w:type="character" w:customStyle="1" w:styleId="TekstkomentarzaZnak">
    <w:name w:val="Tekst komentarza Znak"/>
    <w:qFormat/>
    <w:rPr>
      <w:rFonts w:ascii="Calibri" w:eastAsia="Calibri" w:hAnsi="Calibri" w:cs="Times New Roman"/>
    </w:rPr>
  </w:style>
  <w:style w:type="character" w:customStyle="1" w:styleId="TematkomentarzaZnak">
    <w:name w:val="Temat komentarza Znak"/>
    <w:qFormat/>
    <w:rPr>
      <w:rFonts w:ascii="Calibri" w:eastAsia="Calibri" w:hAnsi="Calibri"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04FF"/>
    <w:rPr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CD71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D71FC"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pPr>
      <w:spacing w:after="0" w:line="240" w:lineRule="auto"/>
    </w:pPr>
    <w:rPr>
      <w:sz w:val="16"/>
      <w:szCs w:val="16"/>
    </w:rPr>
  </w:style>
  <w:style w:type="paragraph" w:styleId="Adreszwrotnynakopercie">
    <w:name w:val="envelope return"/>
    <w:basedOn w:val="Normalny"/>
    <w:qFormat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PlainText1">
    <w:name w:val="Plain Text1"/>
    <w:basedOn w:val="Normalny"/>
    <w:qFormat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kstkomentarza">
    <w:name w:val="annotation text"/>
    <w:basedOn w:val="Normalny"/>
    <w:qFormat/>
    <w:pPr>
      <w:spacing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Poprawka">
    <w:name w:val="Revision"/>
    <w:uiPriority w:val="99"/>
    <w:semiHidden/>
    <w:qFormat/>
    <w:rsid w:val="00E21112"/>
    <w:rPr>
      <w:rFonts w:ascii="Tahoma" w:eastAsia="Calibri" w:hAnsi="Tahoma" w:cs="Tahoma"/>
      <w:color w:val="808284"/>
      <w:sz w:val="22"/>
      <w:szCs w:val="22"/>
      <w:lang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Tahoma" w:eastAsia="Calibri" w:hAnsi="Tahoma" w:cs="Tahoma"/>
      <w:color w:val="808284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Pr>
      <w:rFonts w:ascii="Tahoma" w:hAnsi="Tahoma" w:cs="Tahoma"/>
      <w:color w:val="808284"/>
      <w:sz w:val="22"/>
      <w:szCs w:val="22"/>
    </w:rPr>
  </w:style>
  <w:style w:type="character" w:customStyle="1" w:styleId="StopkaZnak">
    <w:name w:val="Stopka Znak"/>
    <w:qFormat/>
    <w:rPr>
      <w:rFonts w:ascii="Tahoma" w:hAnsi="Tahoma" w:cs="Tahoma"/>
      <w:color w:val="808284"/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color w:val="808284"/>
      <w:sz w:val="16"/>
      <w:szCs w:val="16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</w:rPr>
  </w:style>
  <w:style w:type="character" w:customStyle="1" w:styleId="TekstkomentarzaZnak">
    <w:name w:val="Tekst komentarza Znak"/>
    <w:qFormat/>
    <w:rPr>
      <w:rFonts w:ascii="Calibri" w:eastAsia="Calibri" w:hAnsi="Calibri" w:cs="Times New Roman"/>
    </w:rPr>
  </w:style>
  <w:style w:type="character" w:customStyle="1" w:styleId="TematkomentarzaZnak">
    <w:name w:val="Temat komentarza Znak"/>
    <w:qFormat/>
    <w:rPr>
      <w:rFonts w:ascii="Calibri" w:eastAsia="Calibri" w:hAnsi="Calibri"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04FF"/>
    <w:rPr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CD71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CD71FC"/>
    <w:rPr>
      <w:color w:val="605E5C"/>
      <w:shd w:val="clear" w:color="auto" w:fill="E1DFDD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pPr>
      <w:spacing w:after="0" w:line="240" w:lineRule="auto"/>
    </w:pPr>
    <w:rPr>
      <w:sz w:val="16"/>
      <w:szCs w:val="16"/>
    </w:rPr>
  </w:style>
  <w:style w:type="paragraph" w:styleId="Adreszwrotnynakopercie">
    <w:name w:val="envelope return"/>
    <w:basedOn w:val="Normalny"/>
    <w:qFormat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PlainText1">
    <w:name w:val="Plain Text1"/>
    <w:basedOn w:val="Normalny"/>
    <w:qFormat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kstkomentarza">
    <w:name w:val="annotation text"/>
    <w:basedOn w:val="Normalny"/>
    <w:qFormat/>
    <w:pPr>
      <w:spacing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Poprawka">
    <w:name w:val="Revision"/>
    <w:uiPriority w:val="99"/>
    <w:semiHidden/>
    <w:qFormat/>
    <w:rsid w:val="00E21112"/>
    <w:rPr>
      <w:rFonts w:ascii="Tahoma" w:eastAsia="Calibri" w:hAnsi="Tahoma" w:cs="Tahoma"/>
      <w:color w:val="808284"/>
      <w:sz w:val="22"/>
      <w:szCs w:val="22"/>
      <w:lang w:bidi="ar-SA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58C8-08FF-465D-A011-A2E5C4C8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11</Pages>
  <Words>1498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HP7</dc:creator>
  <dc:description/>
  <cp:lastModifiedBy>Elżbieta Borowik</cp:lastModifiedBy>
  <cp:revision>24</cp:revision>
  <cp:lastPrinted>2019-10-07T13:33:00Z</cp:lastPrinted>
  <dcterms:created xsi:type="dcterms:W3CDTF">2018-12-06T11:23:00Z</dcterms:created>
  <dcterms:modified xsi:type="dcterms:W3CDTF">2019-10-07T13:35:00Z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WCB EIT+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